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UAGZVV</w:t>
      </w:r>
    </w:p>
    <w:p>
      <w:r>
        <w:rPr>
          <w:color w:val="555555"/>
          <w:sz w:val="18"/>
        </w:rPr>
        <w:t xml:space="preserve">UAG-Zulassungsverfahrensverordnung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11 UAGZVV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https://recht.nulegal.eu/gesetze/UAGZVV/11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