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UAGZVV — Erteilung von Zulassung und Fachkenntnisbescheinigung in besonderen Fällen</w:t>
      </w:r>
    </w:p>
    <w:p>
      <w:r>
        <w:rPr>
          <w:color w:val="555555"/>
          <w:sz w:val="18"/>
        </w:rPr>
        <w:t xml:space="preserve">UAG-Zulassungsverfahrensverordnung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bestandener mündlicher Prüfung dürfen im Falle des § 1 Abs. 3 eine Zulassung oder eine Fachkenntnisbescheinigung erst nach Vorlage der erforderlichen Urkunden erteilt werden. Der Antrag ist abzulehnen, wenn die erforderlichen Urkunden nicht fristgerecht vorgelegt werden.</w:t>
      </w:r>
    </w:p>
    <w:p>
      <w:r>
        <w:rPr>
          <w:color w:val="555555"/>
          <w:sz w:val="17"/>
        </w:rPr>
        <w:t xml:space="preserve">Zitiervorschlag: § 10 UAGZVV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https://recht.nulegal.eu/gesetze/UAGZVV/10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UAGZVV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