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UAGOWiZustV — Inkrafttreten</w:t>
      </w:r>
    </w:p>
    <w:p>
      <w:r>
        <w:rPr>
          <w:color w:val="555555"/>
          <w:sz w:val="18"/>
        </w:rPr>
        <w:t xml:space="preserve">Verordnung zur Übertragung der Zuständigkeit für die Verfolgung und Ahndung bestimmter Ordnungswidrigkeiten nach § 37 Abs. 1 des Umweltauditgesetzes auf das Bundesverwaltungsamt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UAGOWiZustV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https://recht.nulegal.eu/gesetze/UAGOWiZustV/2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