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UAGGebV 2002 — Inkrafttreten, Außerkrafttreten</w:t>
      </w:r>
    </w:p>
    <w:p>
      <w:r>
        <w:rPr>
          <w:color w:val="555555"/>
          <w:sz w:val="18"/>
        </w:rPr>
        <w:t xml:space="preserve">UAG-Gebührenverordnung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UAGGebV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https://recht.nulegal.eu/gesetze/UAGGebV%202002/6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