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UAGGebV 2002 — Zulassungsentscheidungen ohne mündliche Prüfung</w:t>
      </w:r>
    </w:p>
    <w:p>
      <w:r>
        <w:rPr>
          <w:color w:val="555555"/>
          <w:sz w:val="18"/>
        </w:rPr>
        <w:t xml:space="preserve">UAG-Gebührenverordnung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Zulassungsentscheidungen, die ohne mündliche Prüfung ergehen, ermäßigt sich die vorgesehene Gebühr um ein Viertel; sie kann bis zu einem Viertel der vorgesehenen Gebühr ermäßigt werden.</w:t>
      </w:r>
    </w:p>
    <w:p>
      <w:r>
        <w:rPr>
          <w:color w:val="555555"/>
          <w:sz w:val="17"/>
        </w:rPr>
        <w:t xml:space="preserve">Zitiervorschlag: § 5 UAGGebV 2002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https://recht.nulegal.eu/gesetze/UAGGebV%202002/5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