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UAGBV — Inkrafttreten</w:t>
      </w:r>
    </w:p>
    <w:p>
      <w:r>
        <w:rPr>
          <w:color w:val="555555"/>
          <w:sz w:val="18"/>
        </w:rPr>
        <w:t xml:space="preserve">UAG-Beleihungsverordnung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UAGBV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