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UAG — Unabhängigkeit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Umweltgutachter muss die gemäß Artikel 20 Absatz 4 und 5 der Verordnung (EG) Nr. 1221/2009 erforderliche Unabhängigkeit aufweisen.</w:t>
      </w:r>
    </w:p>
    <w:p>
      <w:r>
        <w:t xml:space="preserve">(2) Für die gemäß Artikel 20 Absatz 4 und 5 der Verordnung (EG) Nr. 1221/2009 erforderliche Unabhängigkeit bietet in der Regel derjenige keine Gewähr, der</w:t>
      </w:r>
    </w:p>
    <w:p>
      <w:pPr>
        <w:ind w:left="420"/>
      </w:pPr>
      <w:r>
        <w:t xml:space="preserve">1. neben seiner Tätigkeit als Umweltgutachter</w:t>
      </w:r>
    </w:p>
    <w:p>
      <w:pPr>
        <w:ind w:left="780"/>
      </w:pPr>
      <w:r>
        <w:t xml:space="preserve">a) Inhaber einer Organisation oder der Mehrheit der Anteile an einer Organisation im Sinne des Artikels 2 Nummer 21 der Verordnung (EG) Nr. 1221/2009 aus derselben Gruppe gemäß NACE Revision 2 in der jeweils geltenden Fassung ist, auf die sich seine Tätigkeit als Umweltgutachter bezieht,</w:t>
      </w:r>
    </w:p>
    <w:p>
      <w:pPr>
        <w:ind w:left="780"/>
      </w:pPr>
      <w:r>
        <w:t xml:space="preserve">b) Angestellter einer Organisation im Sinne des Artikels 2 Nummer 21 der Verordnung (EG) Nr. 1221/2009 aus derselben Gruppe gemäß NACE Revision 2 in der jeweils geltenden Fassung ist, auf die sich seine Tätigkeit als Umweltgutachter bezieht,</w:t>
      </w:r>
    </w:p>
    <w:p>
      <w:pPr>
        <w:ind w:left="780"/>
      </w:pPr>
      <w:r>
        <w:t xml:space="preserve">c) eine Tätigkeit auf Grund eines Beamtenverhältnisses, Soldatenverhältnisses oder eines Anstellungsvertrages mit einer juristischen Person des öffentlichen Rechts, mit Ausnahme der in Absatz 3 genannten Fälle, ausübt, soweit nicht § 17 Absatz 2 Satz 3 Anwendung findet,</w:t>
      </w:r>
    </w:p>
    <w:p>
      <w:pPr>
        <w:ind w:left="780"/>
      </w:pPr>
      <w:r>
        <w:t xml:space="preserve">d) eine Tätigkeit auf Grund eines Richterverhältnisses, öffentlich-rechtlichen Dienstverhältnisses als Wahlbeamter auf Zeit oder eines öffentlich-rechtlichen Amtsverhältnisses ausübt, es sei denn, dass er die ihm übertragenen Aufgaben ehrenamtlich wahrnimmt,</w:t>
      </w:r>
    </w:p>
    <w:p>
      <w:pPr>
        <w:ind w:left="420"/>
      </w:pPr>
      <w:r>
        <w:t xml:space="preserve">2. Weisungen auf Grund vertraglicher oder sonstiger Beziehungen bei der Tätigkeit als Umweltgutachter auch dann zu befolgen hat, wenn sie ihn zu gutachterlichen Handlungen gegen seine Überzeugung verpflichten,</w:t>
      </w:r>
    </w:p>
    <w:p>
      <w:pPr>
        <w:ind w:left="420"/>
      </w:pPr>
      <w:r>
        <w:t xml:space="preserve">3. organisatorisch, wirtschaftlich, kapital- oder personalmäßig mit Dritten verflochten ist, ohne dass deren Einflussnahme auf die Wahrnehmung der Aufgaben als Umweltgutachter, insbesondere durch Festlegungen in Satzung, Gesellschaftsvertrag oder Anstellungsvertrag auszuschließen ist.</w:t>
      </w:r>
    </w:p>
    <w:p>
      <w:r>
        <w:t xml:space="preserve">Satz 1 Nr. 1 Buchstabe a und b gilt nicht für den Fall einer Begutachtung des Umweltmanagementsystems eines Umweltgutachters, einer Umweltgutachterorganisation oder eines Inhabers einer Fachkenntnisbescheinigung.</w:t>
      </w:r>
    </w:p>
    <w:p>
      <w:r>
        <w:t xml:space="preserve">(3) Vereinbar mit dem Beruf des Umweltgutachters ist eine Beratungstätigkeit als Bediensteter einer Industrie- und Handelskammer, Handwerkskammer, Berufskammer oder sonstigen Körperschaft des öffentlichen Rechts, die eine Selbsthilfeeinrichtung für Unternehmen ist, die sich an dem Gemeinschaftssystem beteiligen können; dies gilt nicht, wenn der Bedienstete im Hinblick auf seine Tätigkeit als Umweltgutachter für Registrierungsaufgaben im Sinne des Artikels 12 Absatz 2 und 3 der Verordnung (EG) Nr. 1221/2009 zuständig ist oder Weisungen im Sinne des Absatzes 2 Nr. 2 unterliegt.</w:t>
      </w:r>
    </w:p>
    <w:p>
      <w:r>
        <w:rPr>
          <w:color w:val="555555"/>
          <w:sz w:val="17"/>
        </w:rPr>
        <w:t xml:space="preserve">Zitiervorschlag: § 6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