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UAG — Anforderungen an Umweltgutachter</w:t>
      </w:r>
    </w:p>
    <w:p>
      <w:r>
        <w:rPr>
          <w:color w:val="555555"/>
          <w:sz w:val="18"/>
        </w:rPr>
        <w:t xml:space="preserve">Umweltauditgesetz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Umweltgutachter besitzen die nach der Verordnung (EG) Nr. 1221/2009 für die Wahrnehmung ihrer Aufgaben erforderliche Zuverlässigkeit, Unabhängigkeit und Fachkunde, wenn sie die in den §§ 5 bis 7 genannten Anforderungen erfüllen. Sie müssen den Nachweis erbringen, dass sie über dokumentierte Prüfungsmethoden und -verfahren (einschließlich der Qualitätskontrolle und der Vorkehrungen zur Wahrung der Vertraulichkeit) zur Erfüllung ihrer gutachterlichen Aufgaben verfügen.</w:t>
      </w:r>
    </w:p>
    <w:p>
      <w:r>
        <w:t xml:space="preserve">(2) Die Tätigkeit als Umweltgutachter ist keine gewerbsmäßige Tätigkeit.</w:t>
      </w:r>
    </w:p>
    <w:p>
      <w:r>
        <w:t xml:space="preserve">(3) Umweltgutachter müssen der Zulassungsstelle bei Antragstellung eine zustellungsfähige Anschrift im Bundesgebiet angeben. Nachträgliche Änderungen der zustellungsfähigen Anschrift sind der Zulassungsstelle innerhalb von vier Wochen nach der Änderung anzugeben.</w:t>
      </w:r>
    </w:p>
    <w:p>
      <w:r>
        <w:t xml:space="preserve">(4) Umweltgutachter haben im beruflichen Verkehr die Berufsbezeichnung "Umweltgutachter" zu führen, Frauen können die Berufsbezeichnung "Umweltgutachterin" führen. Die Berufsbezeichnung darf nicht führen, wer keine Zulassung nach § 9 besitzt.</w:t>
      </w:r>
    </w:p>
    <w:p>
      <w:r>
        <w:t xml:space="preserve">(5) Die Bundesregierung kann nach Anhörung des Umweltgutachterausschusses durch Rechtsverordnung, die nicht der Zustimmung des Bundesrates bedarf, die Anforderungen der §§ 5 bis 7 zu dem in § 1 Abs. 1 Nr. 1 bestimmten Zweck näher bestimmen.</w:t>
      </w:r>
    </w:p>
    <w:p>
      <w:r>
        <w:rPr>
          <w:color w:val="555555"/>
          <w:sz w:val="17"/>
        </w:rPr>
        <w:t xml:space="preserve">Zitiervorschlag: § 4 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https://recht.nulegal.eu/gesetze/UAG/4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