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UAG — Übergangsvorschriften</w:t>
      </w:r>
    </w:p>
    <w:p>
      <w:r>
        <w:rPr>
          <w:color w:val="555555"/>
          <w:sz w:val="18"/>
        </w:rPr>
        <w:t xml:space="preserve">Umweltauditgesetz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Zulassungen von Umweltgutachtern, Umweltgutachterorganisationen und Inhabern von Fachkenntnisbescheinigungen, die vor dem 13. Dezember 2011 erteilt worden sind, behalten auch nach diesem Zeitpunkt ihre Gültigkeit.</w:t>
      </w:r>
    </w:p>
    <w:p>
      <w:r>
        <w:t xml:space="preserve">(2) Vor dem 21. August 2002 nach § 13 Abs. 2 des Umweltauditgesetzes vom 7. Dezember 1995 (BGBl. I S. 1591), das zuletzt durch Artikel 26 des Gesetzes vom 27. April 2002 (BGBl. I S. 1467) geändert worden ist, allgemein anerkannte Qualifikationsnachweise behalten auch nach dem 21. August 2002 ihre Gültigkeit. § 9 Abs. 1 Nr. 1 Buchstabe c, § 10 Abs. 1 Nr. 2 Buchstabe c, § 11 Abs. 3, § 15 Abs. 3 und die §§ 19 und 33 Abs. 1 Nr. 2 des Umweltauditgesetzes in der in Satz 1 genannten Fassung sind auf vor dem 21. August 2002 allgemein anerkannte Qualifikationsnachweise im Sinne des Satzes 1 weiterhin anzuwenden.</w:t>
      </w:r>
    </w:p>
    <w:p>
      <w:r>
        <w:rPr>
          <w:color w:val="555555"/>
          <w:sz w:val="17"/>
        </w:rPr>
        <w:t xml:space="preserve">Zitiervorschlag: § 38 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https://recht.nulegal.eu/gesetze/UAG/38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