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UAG — Bußgeldvorschriften</w:t>
      </w:r>
    </w:p>
    <w:p>
      <w:r>
        <w:rPr>
          <w:color w:val="555555"/>
          <w:sz w:val="18"/>
        </w:rPr>
        <w:t xml:space="preserve">Umweltauditgesetz</w:t>
      </w:r>
    </w:p>
    <w:p>
      <w:r>
        <w:rPr>
          <w:color w:val="555555"/>
          <w:sz w:val="18"/>
        </w:rPr>
        <w:t xml:space="preserve">Stand: 01.07.2020 (konsolidierte Textfassung, kein amtliches Inkrafttretensdatum)</w:t>
      </w:r>
    </w:p>
    <w:p>
      <w:r>
        <w:t xml:space="preserve">(1) Ordnungswidrig handelt, wer vorsätzlich oder fahrlässig</w:t>
      </w:r>
    </w:p>
    <w:p>
      <w:pPr>
        <w:ind w:left="420"/>
      </w:pPr>
      <w:r>
        <w:t xml:space="preserve">1. entgegen § 4 Abs. 3 eine Angabe nicht, nicht richtig oder nicht rechtzeitig macht,</w:t>
      </w:r>
    </w:p>
    <w:p>
      <w:pPr>
        <w:ind w:left="420"/>
      </w:pPr>
      <w:r>
        <w:t xml:space="preserve">2. entgegen § 4 Abs. 4 Satz 2 in Verbindung mit Satz 1 die dort genannte Berufsbezeichnung führt,</w:t>
      </w:r>
    </w:p>
    <w:p>
      <w:pPr>
        <w:ind w:left="420"/>
      </w:pPr>
      <w:r>
        <w:t xml:space="preserve">3. entgegen § 10 Abs. 5 Satz 2 in Verbindung mit Satz 1 die dort genannte Bezeichnung in die Firma oder den Namen aufnimmt,</w:t>
      </w:r>
    </w:p>
    <w:p>
      <w:pPr>
        <w:ind w:left="420"/>
      </w:pPr>
      <w:r>
        <w:t xml:space="preserve">4. entgegen § 15 Abs. 6 Nr. 1 eine Zweitschrift nicht oder nicht für die vorgeschriebene Dauer aufbewahrt,</w:t>
      </w:r>
    </w:p>
    <w:p>
      <w:pPr>
        <w:ind w:left="420"/>
      </w:pPr>
      <w:r>
        <w:t xml:space="preserve">5. entgegen § 15 Abs. 6 Nr. 2 die Zulassungsstelle nicht oder nicht rechtzeitig unterrichtet,</w:t>
      </w:r>
    </w:p>
    <w:p>
      <w:pPr>
        <w:ind w:left="420"/>
      </w:pPr>
      <w:r>
        <w:t xml:space="preserve">6. entgegen § 15 Abs. 6 Nr. 4 eine Unterlage nicht oder nicht rechtzeitig vorlegt,</w:t>
      </w:r>
    </w:p>
    <w:p>
      <w:pPr>
        <w:ind w:left="420"/>
      </w:pPr>
      <w:r>
        <w:t xml:space="preserve">7. einer vollziehbaren Anordnung nach § 15 Abs. 4 oder nach § 16 Abs. 1, auch in Verbindung mit § 18 Abs. 2 Satz 3, zuwiderhandelt,</w:t>
      </w:r>
    </w:p>
    <w:p>
      <w:pPr>
        <w:ind w:left="420"/>
      </w:pPr>
      <w:r>
        <w:t xml:space="preserve">8. entgegen § 18 Abs. 1 Satz 1 eine Anzeige nicht, nicht richtig, nicht vollständig oder nicht rechtzeitig erstattet,</w:t>
      </w:r>
    </w:p>
    <w:p>
      <w:pPr>
        <w:ind w:left="420"/>
      </w:pPr>
      <w:r>
        <w:t xml:space="preserve">9. entgegen § 19 eine Umwelterklärung validiert oder eine Validierung oder Erklärung mitzeichnet,</w:t>
      </w:r>
    </w:p>
    <w:p>
      <w:pPr>
        <w:ind w:left="420"/>
      </w:pPr>
      <w:r>
        <w:t xml:space="preserve">10. einer Rechtsverordnung nach § 20 oder nach § 35 Absatz 2 oder einer auf Grund einer solchen Rechtsverordnung ergangenen vollziehbaren Anordnung zuwiderhandelt, soweit die Rechtsverordnung für einen bestimmten Tatbestand auf diese Bußgeldvorschrift verweist,</w:t>
      </w:r>
    </w:p>
    <w:p>
      <w:pPr>
        <w:ind w:left="420"/>
      </w:pPr>
      <w:r>
        <w:t xml:space="preserve">11. entgegen Artikel 10 Absatz 1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das EMAS-Zeichen verwendet, obwohl er oder sie keine gültige Eintragung in das EMAS-Register besitzt,</w:t>
      </w:r>
    </w:p>
    <w:p>
      <w:pPr>
        <w:ind w:left="420"/>
      </w:pPr>
      <w:r>
        <w:t xml:space="preserve">12. entgegen Artikel 19 Absatz 2 oder Artikel 25 Absatz 8 der Verordnung (EG) Nr. 1221/2009, jeweils auch in Verbindung mit § 8 Absatz 2 Satz 3, eine dort genannte Information oder Umwelterklärung nicht, nicht richtig, nicht vollständig oder nicht rechtzeitig validiert,</w:t>
      </w:r>
    </w:p>
    <w:p>
      <w:pPr>
        <w:ind w:left="420"/>
      </w:pPr>
      <w:r>
        <w:t xml:space="preserve">12a. entgegen Artikel 25 Absatz 9 der Verordnung (EG) Nr. 1221/2009, auch in Verbindung mit § 8 Absatz 2 Satz 3, eine dort genannte Erklärung nicht, nicht richtig, nicht vollständig oder nicht rechtzeitig ausstellt, oder</w:t>
      </w:r>
    </w:p>
    <w:p>
      <w:pPr>
        <w:ind w:left="420"/>
      </w:pPr>
      <w:r>
        <w:t xml:space="preserve">13. einer unmittelbar geltenden Vorschrift in Rechtsakten der Europäischen Gemeinschaften oder der Europäischen Union im Anwendungsbereich dieses Gesetzes zuwiderhandelt, soweit eine nach Anhörung des Umweltgutachterausschusses erlassene Rechtsverordnung nach Absatz 2 für einen bestimmten Tatbestand auf diese Bußgeldvorschrift verweist.</w:t>
      </w:r>
    </w:p>
    <w:p>
      <w:r>
        <w:t xml:space="preserve">(2) Das Bundesministerium für Umwelt, Naturschutz und nukleare Sicherheit wird ermächtigt, soweit dies zur Durchsetzung der Rechtsakte der Europäischen Gemeinschaften oder der Europäischen Union erforderlich ist, durch Rechtsverordnung ohne Zustimmung des Bundesrates die Tatbestände zu bezeichnen, die als Ordnungswidrigkeiten gemäß Absatz 1 Nr. 13 geahndet werden können.</w:t>
      </w:r>
    </w:p>
    <w:p>
      <w:r>
        <w:t xml:space="preserve">(3) Die Ordnungswidrigkeit kann in den Fällen des Absatzes 1 Nr. 2 bis 4, 7, 9, 11, 12 und 13 mit einer Geldbuße bis zu fünfundzwanzigtausend Euro, in den Fällen des Absatzes 1 Nr. 1, 5, 6, 8 und 10 mit einer Geldbuße bis zu fünftausend Euro geahndet werden.</w:t>
      </w:r>
    </w:p>
    <w:p>
      <w:r>
        <w:rPr>
          <w:color w:val="555555"/>
          <w:sz w:val="17"/>
        </w:rPr>
        <w:t xml:space="preserve">Zitiervorschlag: § 37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