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UAG — Gebühren und Auslagen</w:t>
      </w:r>
    </w:p>
    <w:p>
      <w:r>
        <w:rPr>
          <w:color w:val="555555"/>
          <w:sz w:val="18"/>
        </w:rPr>
        <w:t xml:space="preserve">Umweltauditgesetz</w:t>
      </w:r>
    </w:p>
    <w:p>
      <w:r>
        <w:rPr>
          <w:color w:val="555555"/>
          <w:sz w:val="18"/>
        </w:rPr>
        <w:t xml:space="preserve">Stand: 01.07.2020 (konsolidierte Textfassung, kein amtliches Inkrafttretensdatum)</w:t>
      </w:r>
    </w:p>
    <w:p>
      <w:r>
        <w:t xml:space="preserve">(1) Für individuell zurechenbare öffentliche Leistungen auf Grund dieses Gesetzes werden Gebühren und Auslagen erhoben.</w:t>
      </w:r>
    </w:p>
    <w:p>
      <w:r>
        <w:t xml:space="preserve">(2) Das Bundesministerium für Umwelt, Naturschutz und nukleare Sicherheit wird ermächtigt, nach Anhörung des Umweltgutachterausschusses durch Rechtsverordnung, die nicht der Zustimmung des Bundesrates bedarf, für individuell zurechenbare öffentliche Leistungen der Zulassungsstelle und der Widerspruchsbehörde auf Grund dieses Gesetzes die Höhe der Gebühren, die gebührenpflichtigen Tatbestände und die Auslagen näher zu bestimmen und dabei feste Sätze und Rahmensätze vorzusehen.</w:t>
      </w:r>
    </w:p>
    <w:p>
      <w:r>
        <w:t xml:space="preserve">(3) Die Industrie- und Handelskammern und die Handwerkskammern werden ermächtigt, für individuell zurechenbare öffentliche Leistungen der Register führenden Stelle die Höhe der Gebühren durch Satzung zu bestimmen. Dabei ist Artikel 36 Buchstabe b der Verordnung (EG) Nr. 1221/2009 zu beachten. Die Satzung bedarf der Genehmigung durch die Aufsichtsbehörde im Einvernehmen mit der zuständigen Umweltbehörde. § 35 Absatz 1 Satz 2 findet Anwendung.</w:t>
      </w:r>
    </w:p>
    <w:p>
      <w:r>
        <w:rPr>
          <w:color w:val="555555"/>
          <w:sz w:val="17"/>
        </w:rPr>
        <w:t xml:space="preserve">Zitiervorschlag: § 36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