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35 UAG — Registrierungsverfahren; Verordnungsermächtigung</w:t>
      </w:r>
    </w:p>
    <w:p>
      <w:r>
        <w:rPr>
          <w:color w:val="555555"/>
          <w:sz w:val="18"/>
        </w:rPr>
        <w:t xml:space="preserve">Umweltauditgesetz</w:t>
      </w:r>
    </w:p>
    <w:p>
      <w:r>
        <w:rPr>
          <w:color w:val="555555"/>
          <w:sz w:val="18"/>
        </w:rPr>
        <w:t xml:space="preserve">Stand: 01.07.2020 (konsolidierte Textfassung, kein amtliches Inkrafttretensdatum)</w:t>
      </w:r>
    </w:p>
    <w:p>
      <w:r>
        <w:t xml:space="preserve">(1) Die Industrie- und Handelskammern und die Handwerkskammern können das Verfahren für die Registrierung und Streichung von Standorten kammerzugehöriger Unternehmen und für die vorübergehende Aufhebung von Registrierungen gemäß Artikel 3 Absatz 2 und 3 sowie Artikel 13 Absatz 2 bis 5, Artikel 14 und Artikel 15 Absatz 1 bis 4 und 10 der Verordnung (EG) Nr. 1221/2009 mit Ausnahme des Verfahrens für Organisationen, die ihren Sitz in Staaten außerhalb der Europäischen Union haben, durch Satzung näher regeln, die der Genehmigung durch die Aufsichtsbehörde im Einvernehmen mit der obersten für den Umweltschutz zuständigen Behörde eines Landes bedarf. Die Satzungen gelten auch für Organisationen, die nicht Mitglied einer Kammer sind.</w:t>
      </w:r>
    </w:p>
    <w:p>
      <w:r>
        <w:t xml:space="preserve">(2) Das Bundesministerium für Umwelt, Naturschutz und nukleare Sicherheit wird ermächtigt, durch Rechtsverordnung, die nicht der Zustimmung des Bundesrates bedarf, von § 33 und § 34 abweichende Regelungen des Registrierungsverfahrens für Organisationen, die ihren Sitz in Staaten außerhalb der Europäischen Union haben, zu treffen.</w:t>
      </w:r>
    </w:p>
    <w:p>
      <w:r>
        <w:rPr>
          <w:color w:val="555555"/>
          <w:sz w:val="17"/>
        </w:rPr>
        <w:t xml:space="preserve">Zitiervorschlag: § 35 UAG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https://recht.nulegal.eu/gesetze/UAG/35</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