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UAG — Verlängerung der EMAS-Registrierung, Verfahren bei Verstößen, Streichung und vorübergehende Aufhebung der Registrierung</w:t>
      </w:r>
    </w:p>
    <w:p>
      <w:r>
        <w:rPr>
          <w:color w:val="555555"/>
          <w:sz w:val="18"/>
        </w:rPr>
        <w:t xml:space="preserve">Umweltauditgesetz</w:t>
      </w:r>
    </w:p>
    <w:p>
      <w:r>
        <w:rPr>
          <w:color w:val="555555"/>
          <w:sz w:val="18"/>
        </w:rPr>
        <w:t xml:space="preserve">Stand: 10.06.2019 (konsolidierte Textfassung, kein amtliches Inkrafttretensdatum)</w:t>
      </w:r>
    </w:p>
    <w:p>
      <w:r>
        <w:t xml:space="preserve">(1) Stellt die Umweltbehörde fest, dass eine registrierte Organisation gegen Umweltvorschriften verstößt, so setzt sie die Register führende Stelle hierüber in Kenntnis.</w:t>
      </w:r>
    </w:p>
    <w:p>
      <w:r>
        <w:t xml:space="preserve">(2) Bei Anhaltspunkten für einen Verstoß gegen an einem Standort der Organisation geltende Umweltvorschriften erkundigt sich die Register führende Stelle bei der Umweltbehörde, ob ein Umweltrechtsverstoß vorliegt.</w:t>
      </w:r>
    </w:p>
    <w:p>
      <w:r>
        <w:t xml:space="preserve">(3) Wird der Register führenden Stelle eine vollständige Umwelterklärung nach Artikel 6 Absatz 1 Buchstabe c der Verordnung (EG) Nr. 1221/2009 vorgelegt, prüft sie, ob ihr Informationen nach Absatz 1 oder Anhaltspunkte nach Absatz 2 dieses Gesetzes vorliegen.</w:t>
      </w:r>
    </w:p>
    <w:p>
      <w:r>
        <w:t xml:space="preserve">(4) Bevor die Register führende Stelle die Eintragung einer Organisation</w:t>
      </w:r>
    </w:p>
    <w:p>
      <w:pPr>
        <w:ind w:left="420"/>
      </w:pPr>
      <w:r>
        <w:t xml:space="preserve">1. auf Grund des Artikels 15 Absatz 1 oder Absatz 3 der Verordnung (EG) Nr. 1221/2009 wegen nachträglicher Nichterfüllung der einschlägigen Anforderungen am Standort vorübergehend aufhebt oder streicht oder</w:t>
      </w:r>
    </w:p>
    <w:p>
      <w:pPr>
        <w:ind w:left="420"/>
      </w:pPr>
      <w:r>
        <w:t xml:space="preserve">2. auf Grund des Artikels 15 Absatz 4 der Verordnung (EG) Nr. 1221/2009 wegen eines Verstoßes gegen an einem Standort geltende Umweltvorschriften vorübergehend aufhebt oder streicht oder</w:t>
      </w:r>
    </w:p>
    <w:p>
      <w:pPr>
        <w:ind w:left="420"/>
      </w:pPr>
      <w:r>
        <w:t xml:space="preserve">3. auf Grund des Artikels 15 Absatz 2 oder Absatz 7 der Verordnung (EG) Nr. 1221/2009 wegen nicht ausreichend gründlicher Durchführung der gutachterlichen Tätigkeit des Umweltgutachters vorübergehend aufhebt,</w:t>
      </w:r>
    </w:p>
    <w:p>
      <w:r>
        <w:t xml:space="preserve">ist der betroffenen Organisation und, im Falle der Nummer 2, der für den betroffenen Standort zuständigen Umweltbehörde nach Maßgabe des Artikels 15 Absatz 1 Satz 1 und Absatz 6 der Verordnung (EG) Nr. 1221/2009 Gelegenheit zur Stellungnahme zu geben. Bestreitet die Organisation mit vertretbaren Gründen das Vorliegen von Verstößen im Sinne des Satzes 1 Nr. 1 bis 3 und macht sie glaubhaft, dass die Streichung oder vorübergehende Aufhebung der Eintragung zu erheblichen wirtschaftlichen oder sonstigen Nachteilen für die Organisation führen würde, so darf die Streichung oder vorübergehende Aufhebung der Eintragung erst erfolgen, wenn wegen der Verstöße im Sinne des Satzes 1 Nr. 1 bis 3 ein vollziehbarer Verwaltungsakt, ein rechtskräftiger Bußgeldbescheid oder eine rechtskräftige strafgerichtliche Verurteilung vorliegt. Die Register führende Stelle unterrichtet die Leitung der Organisation gemäß Artikel 15 Absatz 8 und 9 der Verordnung (EG) Nr. 1221/2009 über die Gründe für die ergriffenen Maßnahmen und die mit der zuständigen Umweltbehörde geführten Gespräche.</w:t>
      </w:r>
    </w:p>
    <w:p>
      <w:r>
        <w:t xml:space="preserve">(5) Die Registrierung einer Organisation mit mehreren Standorten wird ausgesetzt oder gestrichen, wenn einer oder mehrere Standorte die Voraussetzungen gemäß Artikel 15 Absatz 1 Satz 2, Absatz 2, 3 oder Absatz 4 der Verordnung (EG) Nr. 1221/2009 nicht mehr erfüllt.</w:t>
      </w:r>
    </w:p>
    <w:p>
      <w:r>
        <w:t xml:space="preserve">(6) Die Register führende Stelle setzt die Umweltbehörde über das Ergebnis des Verfahrens zur Verlängerung der Registrierung gemäß Artikel 15 Absatz 3 der Verordnung (EG) Nr. 1221/2009 in Kenntnis.</w:t>
      </w:r>
    </w:p>
    <w:p>
      <w:r>
        <w:rPr>
          <w:color w:val="555555"/>
          <w:sz w:val="17"/>
        </w:rPr>
        <w:t xml:space="preserve">Zitiervorschlag: § 34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