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UAG — Rechtsaufsicht</w:t>
      </w:r>
    </w:p>
    <w:p>
      <w:r>
        <w:rPr>
          <w:color w:val="555555"/>
          <w:sz w:val="18"/>
        </w:rPr>
        <w:t xml:space="preserve">Umweltauditgesetz</w:t>
      </w:r>
    </w:p>
    <w:p>
      <w:r>
        <w:rPr>
          <w:color w:val="555555"/>
          <w:sz w:val="18"/>
        </w:rPr>
        <w:t xml:space="preserve">Stand: 01.07.2020 (konsolidierte Textfassung, kein amtliches Inkrafttretensdatum)</w:t>
      </w:r>
    </w:p>
    <w:p>
      <w:r>
        <w:t xml:space="preserve">(1) Der Umweltgutachterausschuss steht unter der Aufsicht des Bundesministeriums für Umwelt, Naturschutz und nukleare Sicherheit (Aufsichtsbehörde). Die Aufsicht erstreckt sich auf die Rechtmäßigkeit der Ausschusstätigkeit, insbesondere darauf, dass die gesetzlichen Aufgaben erfüllt werden.</w:t>
      </w:r>
    </w:p>
    <w:p>
      <w:r>
        <w:t xml:space="preserve">(2) Die Aufsichtsbehörde kann an den Sitzungen des Umweltgutachterausschusses teilnehmen. Ihr ist auf Verlangen das Wort zu erteilen. Sie kann schriftliche oder elektronische Berichte und Aktenvorlage fordern.</w:t>
      </w:r>
    </w:p>
    <w:p>
      <w:r>
        <w:t xml:space="preserve">(3) Beschlüsse nach § 21 Abs. 1 Satz 2 Nr. 1 bis 3 bedürfen der Genehmigung durch die Aufsichtsbehörde. Die Aufsichtsbehörde kann rechtswidrige Beschlüsse des Umweltgutachterausschusses beanstanden und nach vorheriger Beanstandung aufheben. Wenn der Umweltgutachterausschuss Beschlüsse oder sonstige Handlungen unterlässt, die zur Erfüllung seiner gesetzlichen Aufgaben erforderlich sind, kann die Aufsichtsbehörde anordnen, dass innerhalb einer bestimmten Frist die erforderlichen Maßnahmen getroffen werden. Die Aufsichtsbehörde hat die geforderten Handlungen im Einzelnen zu bezeichnen. Sie kann ihre Anordnung selbst durchführen oder von einem anderen durchführen lassen, wenn die Anordnung vom Umweltgutachterausschuss nicht befolgt worden ist.</w:t>
      </w:r>
    </w:p>
    <w:p>
      <w:r>
        <w:t xml:space="preserve">(4) Wenn die Aufsichtsmittel nach Absatz 3 nicht ausreichen, kann die Aufsichtsbehörde den Umweltgutachterausschuss auflösen. Sie hat nach Eintritt der Unanfechtbarkeit der Auflösungsanordnung unverzüglich neue Mitglieder gemäß § 22 Abs. 3 zu berufen. Sie braucht vorgeschlagene Personen nicht zu berücksichtigen, die Mitglieder des aufgelösten Ausschusses waren.</w:t>
      </w:r>
    </w:p>
    <w:p>
      <w:r>
        <w:rPr>
          <w:color w:val="555555"/>
          <w:sz w:val="17"/>
        </w:rPr>
        <w:t xml:space="preserve">Zitiervorschlag: § 27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