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25 UAG — Widerspruchsverfahren</w:t>
      </w:r>
    </w:p>
    <w:p>
      <w:r>
        <w:rPr>
          <w:color w:val="555555"/>
          <w:sz w:val="18"/>
        </w:rPr>
        <w:t xml:space="preserve">Umweltauditgesetz</w:t>
      </w:r>
    </w:p>
    <w:p>
      <w:r>
        <w:rPr>
          <w:color w:val="555555"/>
          <w:sz w:val="18"/>
        </w:rPr>
        <w:t xml:space="preserve">Stand: 10.06.2019 (konsolidierte Textfassung, kein amtliches Inkrafttretensdatum)</w:t>
      </w:r>
    </w:p>
    <w:p>
      <w:r>
        <w:t xml:space="preserve">(1) Der Widerspruch soll vor Erlass des Widerspruchsbescheides mit den Beteiligten mündlich erörtert werden. Mit Einverständnis aller Beteiligten kann von der mündlichen Erörterung abgesehen werden. Im Übrigen ist das Widerspruchsverfahren an bestimmte Formen nicht gebunden, soweit die §§ 68 bis 73 der Verwaltungsgerichtsordnung keine besonderen Rechtsvorschriften für die Form des Verfahrens enthalten. Es ist einfach und zweckmäßig durchzuführen.</w:t>
      </w:r>
    </w:p>
    <w:p>
      <w:r>
        <w:t xml:space="preserve">(2) Soweit der Widerspruch gegen Entscheidungen der auf Grund des § 28 beliehenen Zulassungsstelle erfolgreich ist, sind die Aufwendungen des Widerspruchsführers nach § 80 Abs. 1 Satz 1 und 2 des Verwaltungsverfahrensgesetzes von dem privaten Rechtsträger der Zulassungsstelle zu erstatten.</w:t>
      </w:r>
    </w:p>
    <w:p>
      <w:r>
        <w:rPr>
          <w:color w:val="555555"/>
          <w:sz w:val="17"/>
        </w:rPr>
        <w:t xml:space="preserve">Zitiervorschlag: § 25 UAG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https://recht.nulegal.eu/gesetze/UAG/25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