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UAG — Widerspruchsbehörde</w:t>
      </w:r>
    </w:p>
    <w:p>
      <w:r>
        <w:rPr>
          <w:color w:val="555555"/>
          <w:sz w:val="18"/>
        </w:rPr>
        <w:t xml:space="preserve">Umweltauditgesetz</w:t>
      </w:r>
    </w:p>
    <w:p>
      <w:r>
        <w:rPr>
          <w:color w:val="555555"/>
          <w:sz w:val="18"/>
        </w:rPr>
        <w:t xml:space="preserve">Stand: 01.07.2020 (konsolidierte Textfassung, kein amtliches Inkrafttretensdatum)</w:t>
      </w:r>
    </w:p>
    <w:p>
      <w:r>
        <w:t xml:space="preserve">(1) Zuständig für die Entscheidung über Widersprüche gegen Verwaltungsakte der Zulassungsstelle ist das Bundesverwaltungsamt, das insoweit den fachlichen Weisungen des Bundesministeriums für Umwelt, Naturschutz und nukleare Sicherheit unterliegt.</w:t>
      </w:r>
    </w:p>
    <w:p>
      <w:r>
        <w:t xml:space="preserve">(2) Die Entscheidung ist durch einen Beamten der Bundesverwaltung zu treffen, der die Befähigung zum Richteramt besitzt. Von der Widerspruchsbehörde hinzugezogene Sachverständige dürfen nicht dem Umweltgutachterausschuss angehören. Sie müssen in Angelegenheiten des betrieblichen Umweltschutzes über gründliche Fachkenntnisse und mindestens dreijährige praktische Erfahrungen verfügen.</w:t>
      </w:r>
    </w:p>
    <w:p>
      <w:r>
        <w:t xml:space="preserve">(3) Die Widerspruchsbehörde kann an den Sitzungen des Umweltgutachterausschusses teilnehmen. Ihr ist auf Verlangen das Wort zu erteilen.</w:t>
      </w:r>
    </w:p>
    <w:p>
      <w:r>
        <w:rPr>
          <w:color w:val="555555"/>
          <w:sz w:val="17"/>
        </w:rPr>
        <w:t xml:space="preserve">Zitiervorschlag: § 24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