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UAG — Geschäftsordnung, Vorsitz und Beschlussfassung des Umweltgutachterausschusses</w:t>
      </w:r>
    </w:p>
    <w:p>
      <w:r>
        <w:rPr>
          <w:color w:val="555555"/>
          <w:sz w:val="18"/>
        </w:rPr>
        <w:t xml:space="preserve">Umweltauditgesetz</w:t>
      </w:r>
    </w:p>
    <w:p>
      <w:r>
        <w:rPr>
          <w:color w:val="555555"/>
          <w:sz w:val="18"/>
        </w:rPr>
        <w:t xml:space="preserve">Stand: 05.03.2021 (konsolidierte Textfassung, kein amtliches Inkrafttretensdatum)</w:t>
      </w:r>
    </w:p>
    <w:p>
      <w:r>
        <w:t xml:space="preserve">(1) Der Umweltgutachterausschuss gibt sich eine Geschäftsordnung, die der Genehmigung durch das Bundesministerium für Umwelt, Naturschutz und nukleare Sicherheit bedarf.</w:t>
      </w:r>
    </w:p>
    <w:p>
      <w:r>
        <w:t xml:space="preserve">(2) Der Umweltgutachterausschuss wählt den Vorsitzenden und vier Stellvertreter aus seiner Mitte. Zu ihnen muss jeweils ein Vertreter der Unternehmen, der Umweltgutachter, der Verwaltung, der Gewerkschaften und der Umweltverbände gehören.</w:t>
      </w:r>
    </w:p>
    <w:p>
      <w:r>
        <w:t xml:space="preserve">(3) Der Umweltgutachterausschuss beschließt</w:t>
      </w:r>
    </w:p>
    <w:p>
      <w:pPr>
        <w:ind w:left="420"/>
      </w:pPr>
      <w:r>
        <w:t xml:space="preserve">1. in Angelegenheiten nach § 21 Abs. 1 Satz 2 Nr. 1 und 2 mit der Mehrheit von zwei Dritteln der gesetzlichen Mitgliederzahl,</w:t>
      </w:r>
    </w:p>
    <w:p>
      <w:pPr>
        <w:ind w:left="420"/>
      </w:pPr>
      <w:r>
        <w:t xml:space="preserve">2. in Angelegenheiten der Geschäftsordnung mit der Mehrheit der gesetzlichen Mitgliederzahl und</w:t>
      </w:r>
    </w:p>
    <w:p>
      <w:pPr>
        <w:ind w:left="420"/>
      </w:pPr>
      <w:r>
        <w:t xml:space="preserve">3. in sonstigen Fällen mit der Mehrheit der anwesenden Mitglieder.</w:t>
      </w:r>
    </w:p>
    <w:p>
      <w:r>
        <w:t xml:space="preserve">(4) An den Sitzungen des Umweltgutachterausschusses, einschließlich der Beratung und Beschlussfassung, können einzelne oder alle Mitglieder auch im Wege elektronischer Kommunikation teilnehmen. Einzelheiten, insbesondere zur Durchführung elektronischer Abstimmungen und zur Dokumentation, können in der Geschäftsordnung festgelegt werden.</w:t>
      </w:r>
    </w:p>
    <w:p>
      <w:r>
        <w:rPr>
          <w:color w:val="555555"/>
          <w:sz w:val="17"/>
        </w:rPr>
        <w:t xml:space="preserve">Zitiervorschlag: § 23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