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UAG — Mitglieder des Umweltgutachterausschusses</w:t>
      </w:r>
    </w:p>
    <w:p>
      <w:r>
        <w:rPr>
          <w:color w:val="555555"/>
          <w:sz w:val="18"/>
        </w:rPr>
        <w:t xml:space="preserve">Umweltauditgesetz</w:t>
      </w:r>
    </w:p>
    <w:p>
      <w:r>
        <w:rPr>
          <w:color w:val="555555"/>
          <w:sz w:val="18"/>
        </w:rPr>
        <w:t xml:space="preserve">Stand: 01.07.2020 (konsolidierte Textfassung, kein amtliches Inkrafttretensdatum)</w:t>
      </w:r>
    </w:p>
    <w:p>
      <w:r>
        <w:t xml:space="preserve">(1) Mitglieder des Umweltgutachterausschusses sind</w:t>
      </w:r>
    </w:p>
    <w:p>
      <w:pPr>
        <w:ind w:left="420"/>
      </w:pPr>
      <w:r>
        <w:t xml:space="preserve">- 6 Vertreter der Unternehmen oder ihrer Organisationen,</w:t>
      </w:r>
    </w:p>
    <w:p>
      <w:pPr>
        <w:ind w:left="420"/>
      </w:pPr>
      <w:r>
        <w:t xml:space="preserve">- 4 Vertreter der Umweltgutachter oder ihrer Organisationen,</w:t>
      </w:r>
    </w:p>
    <w:p>
      <w:pPr>
        <w:ind w:left="420"/>
      </w:pPr>
      <w:r>
        <w:t xml:space="preserve">- 2 Vertreter der Umweltverwaltung des Bundes,</w:t>
      </w:r>
    </w:p>
    <w:p>
      <w:pPr>
        <w:ind w:left="420"/>
      </w:pPr>
      <w:r>
        <w:t xml:space="preserve">- 1 Vertreter der Wirtschaftsverwaltung des Bundes,</w:t>
      </w:r>
    </w:p>
    <w:p>
      <w:pPr>
        <w:ind w:left="420"/>
      </w:pPr>
      <w:r>
        <w:t xml:space="preserve">- 4 Vertreter der Umweltverwaltung der Länder,</w:t>
      </w:r>
    </w:p>
    <w:p>
      <w:pPr>
        <w:ind w:left="420"/>
      </w:pPr>
      <w:r>
        <w:t xml:space="preserve">- 2 Vertreter der Wirtschaftsverwaltung der Länder,</w:t>
      </w:r>
    </w:p>
    <w:p>
      <w:pPr>
        <w:ind w:left="420"/>
      </w:pPr>
      <w:r>
        <w:t xml:space="preserve">- 3 Vertreter der Gewerkschaften,</w:t>
      </w:r>
    </w:p>
    <w:p>
      <w:pPr>
        <w:ind w:left="420"/>
      </w:pPr>
      <w:r>
        <w:t xml:space="preserve">- 3 Vertreter der Umweltverbände.</w:t>
      </w:r>
    </w:p>
    <w:p>
      <w:r>
        <w:t xml:space="preserve">Sie unterliegen keinen Weisungen und sind ehrenamtlich tätig. Die Vorschriften der §§ 83 und 84 des Verwaltungsverfahrensgesetzes sind anzuwenden.</w:t>
      </w:r>
    </w:p>
    <w:p>
      <w:r>
        <w:t xml:space="preserve">(2) Die Mitglieder des Umweltgutachterausschusses müssen in Angelegenheiten des betrieblichen Umweltschutzes über gründliche Fachkenntnisse und mindestens dreijährige praktische Erfahrungen verfügen.</w:t>
      </w:r>
    </w:p>
    <w:p>
      <w:r>
        <w:t xml:space="preserve">(3) Das Bundesministerium für Umwelt, Naturschutz und nukleare Sicherheit beruft die Mitglieder des Umweltgutachterausschusses und für jedes Mitglied einen Stellvertreter für die Dauer von drei Jahren auf Vorschlag der Bundesdachverbände der Wirtschaft, der freien Berufe im Einvernehmen mit den Organisationen der Umweltgutachter, der Gewerkschaften und der Umweltverbände sowie der zuständigen obersten Bundes- und Landesbehörden. Für die Stellvertreter gelten die Absätze 1 und 2 entsprechend.</w:t>
      </w:r>
    </w:p>
    <w:p>
      <w:r>
        <w:t xml:space="preserve">(4) Ein Mitglied wird höchstens zweimal in Folge für den Umweltgutachterausschuss berufen. Anschließend muss vor einer erneuten Berufung eine Unterbrechung von mindestens einer Berufungsperiode liegen.</w:t>
      </w:r>
    </w:p>
    <w:p>
      <w:r>
        <w:rPr>
          <w:color w:val="555555"/>
          <w:sz w:val="17"/>
        </w:rPr>
        <w:t xml:space="preserve">Zitiervorschlag: § 22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