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UAG — Aufgaben des Umweltgutachterausschusses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Beim Bundesministerium für Umwelt, Naturschutz und nukleare Sicherheit wird ein Umweltgutachterausschuss gebildet. Der Umweltgutachterausschuss hat die Aufgabe,</w:t>
      </w:r>
    </w:p>
    <w:p>
      <w:pPr>
        <w:ind w:left="420"/>
      </w:pPr>
      <w:r>
        <w:t xml:space="preserve">1. Richtlinien für die Auslegung und Anwendung der §§ 4 bis 18 und der auf Grund dieser Rechtsvorschriften ergangenen Rechtsverordnungen zu erlassen,</w:t>
      </w:r>
    </w:p>
    <w:p>
      <w:pPr>
        <w:ind w:left="420"/>
      </w:pPr>
      <w:r>
        <w:t xml:space="preserve">2. eine Prüferliste für die Besetzung der Prüfungsausschüsse der Zulassungsstelle zu führen,</w:t>
      </w:r>
    </w:p>
    <w:p>
      <w:pPr>
        <w:ind w:left="420"/>
      </w:pPr>
      <w:r>
        <w:t xml:space="preserve">3. Empfehlungen für die Benennung von Sachverständigen durch die Widerspruchsbehörde auszusprechen,</w:t>
      </w:r>
    </w:p>
    <w:p>
      <w:pPr>
        <w:ind w:left="420"/>
      </w:pPr>
      <w:r>
        <w:t xml:space="preserve">4. das Bundesministerium für Umwelt, Naturschutz und nukleare Sicherheit in allen Zulassungs- und Aufsichtsangelegenheiten zu beraten,</w:t>
      </w:r>
    </w:p>
    <w:p>
      <w:pPr>
        <w:ind w:left="420"/>
      </w:pPr>
      <w:r>
        <w:t xml:space="preserve">5. die Verbreitung von EMAS zu fördern.</w:t>
      </w:r>
    </w:p>
    <w:p>
      <w:r>
        <w:t xml:space="preserve">Die Richtlinien nach Satz 2 Nr. 1 sind vom Bundesministerium für Umwelt, Naturschutz und nukleare Sicherheit im Bundesanzeiger zu veröffentlichen.</w:t>
      </w:r>
    </w:p>
    <w:p>
      <w:r>
        <w:t xml:space="preserve">(2) Der Umweltgutachterausschuss erhält von der Zulassungsstelle halbjährlich einen Bericht über Umfang, Inhalt und Probleme der Zulassungs- und Aufsichtstätigkeit. Insbesondere ist zu berichten über</w:t>
      </w:r>
    </w:p>
    <w:p>
      <w:pPr>
        <w:ind w:left="420"/>
      </w:pPr>
      <w:r>
        <w:t xml:space="preserve">1. die getroffenen Aufsichtsmaßnahmen,</w:t>
      </w:r>
    </w:p>
    <w:p>
      <w:pPr>
        <w:ind w:left="420"/>
      </w:pPr>
      <w:r>
        <w:t xml:space="preserve">2. die Praktikabilität und den Anpassungsbedarf erlassener Richtlinien nach Absatz 1 Satz 2 Nr. 1 und</w:t>
      </w:r>
    </w:p>
    <w:p>
      <w:pPr>
        <w:ind w:left="420"/>
      </w:pPr>
      <w:r>
        <w:t xml:space="preserve">3. den Regelungsbedarf durch neue Richtlinien nach Absatz 1 Satz 2 Nr. 1.</w:t>
      </w:r>
    </w:p>
    <w:p>
      <w:r>
        <w:t xml:space="preserve">Der Umweltgutachterausschuss kann von der Zulassungsstelle Berichte zu besonderen Fragen anfordern.</w:t>
      </w:r>
    </w:p>
    <w:p>
      <w:r>
        <w:rPr>
          <w:color w:val="555555"/>
          <w:sz w:val="17"/>
        </w:rPr>
        <w:t xml:space="preserve">Zitiervorschlag: § 21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