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UAG — Aufsichtsverfahren</w:t>
      </w:r>
    </w:p>
    <w:p>
      <w:r>
        <w:rPr>
          <w:color w:val="555555"/>
          <w:sz w:val="18"/>
        </w:rPr>
        <w:t xml:space="preserve">Umweltauditgesetz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kann nach Anhörung des Umweltgutachterausschusses durch Rechtsverordnung, die nicht der Zustimmung des Bundesrates bedarf, Inhalt und Umfang der Pflichten nach § 15 Abs. 6 und 7 sowie das Verfahren für Aufsichtsmaßnahmen zu dem in § 1 Abs. 1 Nr. 2 genannten Zweck näher regeln.</w:t>
      </w:r>
    </w:p>
    <w:p>
      <w:r>
        <w:rPr>
          <w:color w:val="555555"/>
          <w:sz w:val="17"/>
        </w:rPr>
        <w:t xml:space="preserve">Zitiervorschlag: § 20 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