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UAG — Begriffsbestimmungen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Für Zwecke dieses Gesetzes sind die in Artikel 2 der Verordnung (EG) Nr. 1221/2009 genannten Begriffsbestimmungen anzuwenden. Ergänzend gelten die Begriffsbestimmungen der Absätze 2 bis 4.</w:t>
      </w:r>
    </w:p>
    <w:p>
      <w:r>
        <w:t xml:space="preserve">(2) Umweltgutachter im Sinne dieses Gesetzes sind natürliche Personen, die zur Wahrnehmung der Aufgaben im Sinne der Artikel 4 Absatz 5 sowie Artikel 6 in Verbindung mit Artikel 18, 19 und 25 bis 27 der Verordnung (EG) Nr. 1221/2009 nach diesem Gesetz zugelassen sind oder die in einem anderen Mitgliedstaat der Europäischen Union im Rahmen des Artikels 28 Absätze 1 bis 5 der Verordnung (EG) Nr. 1221/2009 nach dessen innerstaatlichem Recht zugelassen sind.</w:t>
      </w:r>
    </w:p>
    <w:p>
      <w:r>
        <w:t xml:space="preserve">(3) Umweltgutachterorganisationen sind juristische Personen und rechtsfähige Personengesellschaften, die zur Wahrnehmung der Aufgaben im Sinne der Artikel 4 Absatz 5 sowie Artikel 6 in Verbindung mit Artikel 18, 19 und 25 bis 27 der Verordnung (EG) Nr. 1221/2009 nach diesem Gesetz zugelassen sind, sowie Personenvereinigungen, die in einem anderen Mitgliedstaat der Europäischen Union im Rahmen des Artikels 28 der Verordnung (EG) Nr. 1221/2009 nach dessen innerstaatlichem Recht als Umweltgutachterorganisationen zugelassen sind.</w:t>
      </w:r>
    </w:p>
    <w:p>
      <w:r>
        <w:t xml:space="preserve">(4) Zulassungsbereiche im Sinne dieses Gesetzes sind die Ebenen und Zwischenstufen der Klassifizierung gemäß Anhang I der Verordnung (EG) Nr. 1893/2006 des Europäischen Parlaments und des Rates vom 20. Dezember 2006 zur Aufstellung der statistischen Systematik der Wirtschaftszweige NACE Revision 2 und zur Änderung der Verordnung (EWG) Nr. 3037/90 des Rates sowie einiger Verordnungen der EG über bestimmte Bereiche der Statistik (ABl. EU Nr. L 393 S. 1) in der jeweils geltenden Fassung in Verbindung mit der deutschen Klassifikation der Wirtschaftszweige des Statistischen Bundesamtes, Ausgabe 2008 (WZ 2008).</w:t>
      </w:r>
    </w:p>
    <w:p>
      <w:r>
        <w:rPr>
          <w:color w:val="555555"/>
          <w:sz w:val="17"/>
        </w:rPr>
        <w:t xml:space="preserve">Zitiervorschlag: § 2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