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UAG — Anordnung, Untersagung</w:t>
      </w:r>
    </w:p>
    <w:p>
      <w:r>
        <w:rPr>
          <w:color w:val="555555"/>
          <w:sz w:val="18"/>
        </w:rPr>
        <w:t xml:space="preserve">Umweltauditgesetz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Zur Erfüllung der Anforderungen und Pflichten nach der Verordnung (EG) Nr. 1221/2009, nach diesem Gesetz, nach den auf Grund dieses Gesetzes erlassenen Rechtsverordnungen und bei Tätigkeiten auf Grund anderer rechtlicher Regelungen im Sinne von § 15 Absatz 9 kann die Zulassungsstelle die erforderlichen Maßnahmen gegenüber Umweltgutachtern, Umweltgutachterorganisationen und Inhabern von Fachkenntnisbescheinigungen treffen.</w:t>
      </w:r>
    </w:p>
    <w:p>
      <w:r>
        <w:t xml:space="preserve">(2) Die Zulassungsstelle kann insbesondere die Fortführung gutachterlicher Tätigkeiten ganz oder teilweise vorläufig untersagen, wenn Umweltgutachter, Umweltgutachterorganisationen und Inhaber von Fachkenntnisbescheinigungen</w:t>
      </w:r>
    </w:p>
    <w:p>
      <w:pPr>
        <w:ind w:left="420"/>
      </w:pPr>
      <w:r>
        <w:t xml:space="preserve">1. unter Verstoß gegen die Pflichten nach Artikel 4 Absatz 5 und Artikel 25 Absatz 8, jeweils in Verbindung mit Artikel 18 und 19, der Verordnung (EG) Nr. 1221/2009 eine Umwelterklärung mit unzutreffenden Angaben und Beurteilungen, insbesondere hinsichtlich der Einhaltung der an einem Standort einer Organisation geltenden Umweltvorschriften, validiert haben,</w:t>
      </w:r>
    </w:p>
    <w:p>
      <w:pPr>
        <w:ind w:left="420"/>
      </w:pPr>
      <w:r>
        <w:t xml:space="preserve">2. die Pflichten nach § 15 Abs. 6 und 7 nicht ordnungsgemäß erfüllt haben oder</w:t>
      </w:r>
    </w:p>
    <w:p>
      <w:pPr>
        <w:ind w:left="420"/>
      </w:pPr>
      <w:r>
        <w:t xml:space="preserve">3. eine vollziehbare Anordnung der Zulassungsstelle nicht befolgt haben.</w:t>
      </w:r>
    </w:p>
    <w:p>
      <w:r>
        <w:t xml:space="preserve">Die Untersagung hat zu unterbleiben oder ist wieder aufzuheben, sobald die Pflichten und Anordnungen nach Satz 1 erfüllt sind oder bei nachträglicher Unmöglichkeit keine Wiederholungsgefahr eines Rechtsverstoßes besteht.</w:t>
      </w:r>
    </w:p>
    <w:p>
      <w:r>
        <w:rPr>
          <w:color w:val="555555"/>
          <w:sz w:val="17"/>
        </w:rPr>
        <w:t xml:space="preserve">Zitiervorschlag: § 16 UAG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https://recht.nulegal.eu/gesetze/UAG/16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