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UAG — Bescheinigungs- und Zulassungsverfahren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für die Erteilung einer Fachkenntnisbescheinigung nach § 8 und für die Zulassung nach den §§ 9 und 10 setzt einen schriftlichen Antrag voraus. Dem Antrag sind die zur Prüfung erforderlichen Unterlagen beizufügen.</w:t>
      </w:r>
    </w:p>
    <w:p>
      <w:r>
        <w:t xml:space="preserve">(2) Die Fachkenntnisse des Umweltgutachters werden in einer mündlichen Prüfung von einem Prüfungsausschuss der Zulassungsstelle festgestellt. Gegenstand der mündlichen Prüfung sind</w:t>
      </w:r>
    </w:p>
    <w:p>
      <w:pPr>
        <w:ind w:left="420"/>
      </w:pPr>
      <w:r>
        <w:t xml:space="preserve">1. die in § 7 Abs. 2 Nr. 2 Buchstabe a bis d genannten Fachgebiete und</w:t>
      </w:r>
    </w:p>
    <w:p>
      <w:pPr>
        <w:ind w:left="420"/>
      </w:pPr>
      <w:r>
        <w:t xml:space="preserve">2. praktische Probleme aus der Berufsarbeit eines Umweltgutachters.</w:t>
      </w:r>
    </w:p>
    <w:p>
      <w:r>
        <w:t xml:space="preserve">(3) Der Prüfungsgegenstand im Sinne des Absatzes 2 Nr. 1 ist insoweit beschränkt, als der Antragsteller für bestimmte Fachgebiete Fachkenntnisbescheinigungen vorgelegt hat oder der Antragsteller in vorherigen Prüfungen zur Zulassung als Umweltgutachter einzelne Fachgebiete bereits bestanden hat.</w:t>
      </w:r>
    </w:p>
    <w:p>
      <w:r>
        <w:t xml:space="preserve">(4) Die nach § 7 Absatz 4 Satz 1 erforderlichen Rechts- und Sprachkenntnisse werden in einem Fachgespräch bei der Zulassungsstelle festgestellt. § 12 Absatz 1 Satz 1 gilt entsprechend.</w:t>
      </w:r>
    </w:p>
    <w:p>
      <w:r>
        <w:t xml:space="preserve">(5) Für die Erteilung einer Fachkenntnisbescheinigung nach § 8 gelten die Absätze 2 und 3 entsprechend.</w:t>
      </w:r>
    </w:p>
    <w:p>
      <w:r>
        <w:t xml:space="preserve">(6) Die Bundesregierung kann nach Anhörung des Umweltgutachterausschusses durch Rechtsverordnung, die nicht der Zustimmung des Bundesrates bedarf,</w:t>
      </w:r>
    </w:p>
    <w:p>
      <w:pPr>
        <w:ind w:left="420"/>
      </w:pPr>
      <w:r>
        <w:t xml:space="preserve">1. Verfahren nach den Absätzen 1 und 4, einschließlich Wiederholungsprüfungen,</w:t>
      </w:r>
    </w:p>
    <w:p>
      <w:pPr>
        <w:ind w:left="420"/>
      </w:pPr>
      <w:r>
        <w:t xml:space="preserve">2. Anforderungen an die Qualifikation der Mitglieder der Prüfungsausschüsse und die Durchführung der mündlichen Prüfung nach § 12 und</w:t>
      </w:r>
    </w:p>
    <w:p>
      <w:pPr>
        <w:ind w:left="420"/>
      </w:pPr>
      <w:r>
        <w:t xml:space="preserve">3. schriftliche Prüfungen allgemein oder für bestimmte Fachgebiete oder für bestimmte Zulassungsbereiche als unselbständigen Teil der Zulassungs- und Bescheinigungsverfahren vorschreiben und nähere Bestimmungen zu Gegenstand und Durchführung der schriftlichen Prüfungen treffen.</w:t>
      </w:r>
    </w:p>
    <w:p>
      <w:r>
        <w:rPr>
          <w:color w:val="555555"/>
          <w:sz w:val="17"/>
        </w:rPr>
        <w:t xml:space="preserve">Zitiervorschlag: § 11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