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10a UAG — Ausländische Unterlagen und Nachweise; Verfahren</w:t>
      </w:r>
    </w:p>
    <w:p>
      <w:r>
        <w:rPr>
          <w:color w:val="555555"/>
          <w:sz w:val="18"/>
        </w:rPr>
        <w:t xml:space="preserve">Umweltauditgesetz</w:t>
      </w:r>
    </w:p>
    <w:p>
      <w:r>
        <w:rPr>
          <w:color w:val="555555"/>
          <w:sz w:val="18"/>
        </w:rPr>
        <w:t xml:space="preserve">Stand: 10.06.2019 (konsolidierte Textfassung, kein amtliches Inkrafttretensdatum)</w:t>
      </w:r>
    </w:p>
    <w:p>
      <w:r>
        <w:t xml:space="preserve">(1) Soweit im Rahmen des Zulassungsverfahrens Nachweise nach diesem Gesetz oder nach einer auf Grund dieses Gesetzes erlassenen Verordnung vorzulegen sind, stehen Nachweise aus einem anderen Mitgliedstaat der Europäischen Union oder einem anderen Vertragsstaat des Abkommens über den Europäischen Wirtschaftsraum inländischen Nachweisen gleich, wenn sie gleichwertig sind oder wenn aus ihnen hervorgeht, dass die betreffenden Anforderungen erfüllt sind. Es kann verlangt werden, dass die Unterlagen in beglaubigter Kopie und beglaubigter deutscher Übersetzung vorgelegt werden.</w:t>
      </w:r>
    </w:p>
    <w:p>
      <w:r>
        <w:t xml:space="preserve">(2) Die Zulassungsstelle bestätigt den Empfang der von dem Antragsteller eingereichten Unterlagen innerhalb eines Monats und teilt gegebenenfalls mit, welche Unterlagen noch nachzureichen sind. Die Prüfung des Antrags auf Zulassung muss innerhalb von drei Monaten nach Einreichen der vollständigen Unterlagen abgeschlossen sein. Diese Frist kann in begründeten Fällen um einen Monat verlängert werden. Bestehen Zweifel an der Echtheit von vorgelegten Nachweisen nach Absatz 1 oder benötigt die Zulassungsstelle weitere Informationen, kann sie durch Nachfrage bei der zuständigen Stelle des Herkunftsstaates die Echtheit überprüfen und entsprechende Auskünfte einholen. Die mündliche Zulassungsprüfung ist innerhalb von sechs Monaten nach Vorliegen der erforderlichen Unterlagen abzuschließen, es sei denn, der Antragsteller beantragt einen späteren Prüfungszeitpunkt.</w:t>
      </w:r>
    </w:p>
    <w:p>
      <w:r>
        <w:rPr>
          <w:color w:val="555555"/>
          <w:sz w:val="17"/>
        </w:rPr>
        <w:t xml:space="preserve">Zitiervorschlag: § 10a UAG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https://recht.nulegal.eu/gesetze/UAG/10a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