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UAG-ErwV — Inkrafttreten</w:t>
      </w:r>
    </w:p>
    <w:p>
      <w:r>
        <w:rPr>
          <w:color w:val="555555"/>
          <w:sz w:val="18"/>
        </w:rPr>
        <w:t xml:space="preserve">UAG-Erweiterungsverordnung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UAG-ErwV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https://recht.nulegal.eu/gesetze/UAG-ErwV/3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UAG-ErwV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