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UAG-ErwV — Einbeziehung weiterer Bereiche</w:t>
      </w:r>
    </w:p>
    <w:p>
      <w:r>
        <w:rPr>
          <w:color w:val="555555"/>
          <w:sz w:val="18"/>
        </w:rPr>
        <w:t xml:space="preserve">UAG-Erweiterungsverordnung</w:t>
      </w:r>
    </w:p>
    <w:p>
      <w:r>
        <w:rPr>
          <w:color w:val="555555"/>
          <w:sz w:val="18"/>
        </w:rPr>
        <w:t xml:space="preserve">Stand: 10.06.2019 (konsolidierte Textfassung, kein amtliches Inkrafttretensdatum)</w:t>
      </w:r>
    </w:p>
    <w:p>
      <w:r>
        <w:t xml:space="preserve">In den Anwendungsbereich des Gemeinschaftssystems für das Umweltmanagement und die Umweltbetriebsprüfung werden Körperschaften des öffentlichen Rechts und Unternehmen einbezogen, soweit sie eine Tätigkeit an einem oder mehreren Standorten ausüben, die zu den im Anhang zu dieser Verordnung genannten Bereichen gehört.</w:t>
      </w:r>
    </w:p>
    <w:p>
      <w:r>
        <w:rPr>
          <w:color w:val="555555"/>
          <w:sz w:val="17"/>
        </w:rPr>
        <w:t xml:space="preserve">Zitiervorschlag: § 1 UAG-ErwV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https://recht.nulegal.eu/gesetze/UAG-ErwV/1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