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TzBfG — Verbot der Diskriminierung</w:t>
      </w:r>
    </w:p>
    <w:p>
      <w:r>
        <w:rPr>
          <w:color w:val="555555"/>
          <w:sz w:val="18"/>
        </w:rPr>
        <w:t xml:space="preserve">Teilzeit- und Befristungsgesetz</w:t>
      </w:r>
    </w:p>
    <w:p>
      <w:r>
        <w:rPr>
          <w:color w:val="555555"/>
          <w:sz w:val="18"/>
        </w:rPr>
        <w:t xml:space="preserve">Stand: 10.06.2019 (konsolidierte Textfassung, kein amtliches Inkrafttretensdatum)</w:t>
      </w:r>
    </w:p>
    <w:p>
      <w:r>
        <w:t xml:space="preserve">(1) Ein teilzeitbeschäftigter Arbeitnehmer darf wegen der Teilzeitarbeit nicht schlechter behandelt werden als ein vergleichbarer vollzeitbeschäftigter Arbeitnehmer, es sei denn, dass sachliche Gründe eine unterschiedliche Behandlung rechtfertigen. Einem teilzeitbeschäftigten Arbeitnehmer ist Arbeitsentgelt oder eine andere teilbare geldwerte Leistung mindestens in dem Umfang zu gewähren, der dem Anteil seiner Arbeitszeit an der Arbeitszeit eines vergleichbaren vollzeitbeschäftigten Arbeitnehmers entspricht.</w:t>
      </w:r>
    </w:p>
    <w:p>
      <w:r>
        <w:t xml:space="preserve">(2) Ein befristet beschäftigter Arbeitnehmer darf wegen der Befristung des Arbeitsvertrages nicht schlechter behandelt werden, als ein vergleichbarer unbefristet beschäftigter Arbeitnehmer, es sei denn, dass sachliche Gründe eine unterschiedliche Behandlung rechtfertigen. Einem befristet beschäftigten Arbeitnehmer ist Arbeitsentgelt oder eine andere teilbare geldwerte Leistung, die für einen bestimmten Bemessungszeitraum gewährt wird, mindestens in dem Umfang zu gewähren, der dem Anteil seiner Beschäftigungsdauer am Bemessungszeitraum entspricht. Sind bestimmte Beschäftigungsbedingungen von der Dauer des Bestehens des Arbeitsverhältnisses in demselben Betrieb oder Unternehmen abhängig, so sind für befristet beschäftigte Arbeitnehmer dieselben Zeiten zu berücksichtigen wie für unbefristet beschäftigte Arbeitnehmer, es sei denn, dass eine unterschiedliche Berücksichtigung aus sachlichen Gründen gerechtfertigt ist.</w:t>
      </w:r>
    </w:p>
    <w:p>
      <w:r>
        <w:rPr>
          <w:color w:val="555555"/>
          <w:sz w:val="17"/>
        </w:rPr>
        <w:t xml:space="preserve">Zitiervorschlag: § 4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