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TzBfG — Aus- und Weiterbildung</w:t>
      </w:r>
    </w:p>
    <w:p>
      <w:r>
        <w:rPr>
          <w:color w:val="555555"/>
          <w:sz w:val="18"/>
        </w:rPr>
        <w:t xml:space="preserve">Teilzeit- und Befristungsgesetz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hat Sorge zu tragen, dass auch befristet beschäftigte Arbeitnehmer an angemessenen Aus- und Weiterbildungsmaßnahmen zur Förderung der beruflichen Entwicklung und Mobilität teilnehmen können, es sei denn, dass dringende betriebliche Gründe oder Aus- und Weiterbildungswünsche anderer Arbeitnehmer entgegenstehen.</w:t>
      </w:r>
    </w:p>
    <w:p>
      <w:r>
        <w:rPr>
          <w:color w:val="555555"/>
          <w:sz w:val="17"/>
        </w:rPr>
        <w:t xml:space="preserve">Zitiervorschlag: § 19 TzBfG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https://recht.nulegal.eu/gesetze/TzBfG/19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