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TzBfG — Anrufung des Arbeitsgerichts</w:t>
      </w:r>
    </w:p>
    <w:p>
      <w:r>
        <w:rPr>
          <w:color w:val="555555"/>
          <w:sz w:val="18"/>
        </w:rPr>
        <w:t xml:space="preserve">Teilzeit- und Befristungsgesetz</w:t>
      </w:r>
    </w:p>
    <w:p>
      <w:r>
        <w:rPr>
          <w:color w:val="555555"/>
          <w:sz w:val="18"/>
        </w:rPr>
        <w:t xml:space="preserve">Stand: 10.06.2019 (konsolidierte Textfassung, kein amtliches Inkrafttretensdatum)</w:t>
      </w:r>
    </w:p>
    <w:p>
      <w:r>
        <w:t xml:space="preserve">Will der Arbeitnehmer geltend machen, dass die Befristung eines Arbeitsvertrages rechtsunwirksam ist, so muss er innerhalb von drei Wochen nach dem vereinbarten Ende des befristeten Arbeitsvertrages Klage beim Arbeitsgericht auf Feststellung erheben, dass das Arbeitsverhältnis auf Grund der Befristung nicht beendet ist. Die §§ 5 bis 7 des Kündigungsschutzgesetzes gelten entsprechend. Wird das Arbeitsverhältnis nach dem vereinbarten Ende fortgesetzt, so beginnt die Frist nach Satz 1 mit dem Zugang der schriftlichen Erklärung des Arbeitgebers, dass das Arbeitsverhältnis auf Grund der Befristung beendet sei.</w:t>
      </w:r>
    </w:p>
    <w:p>
      <w:r>
        <w:rPr>
          <w:color w:val="555555"/>
          <w:sz w:val="17"/>
        </w:rPr>
        <w:t xml:space="preserve">Zitiervorschlag: § 17 TzBfG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https://recht.nulegal.eu/gesetze/TzBfG/17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