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TzBfG — Folgen unwirksamer Befristung</w:t>
      </w:r>
    </w:p>
    <w:p>
      <w:r>
        <w:rPr>
          <w:color w:val="555555"/>
          <w:sz w:val="18"/>
        </w:rPr>
        <w:t xml:space="preserve">Teilzeit- und Befristungsgesetz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Ist die Befristung rechtsunwirksam, so gilt der befristete Arbeitsvertrag als auf unbestimmte Zeit geschlossen; er kann vom Arbeitgeber frühestens zum vereinbarten Ende ordentlich gekündigt werden, sofern nicht nach § 15 Absatz 4 die ordentliche Kündigung zu einem früheren Zeitpunkt möglich ist. Ist die Befristung nur wegen des Mangels der Schriftform unwirksam, kann der Arbeitsvertrag auch vor dem vereinbarten Ende ordentlich gekündigt werden.</w:t>
      </w:r>
    </w:p>
    <w:p>
      <w:r>
        <w:rPr>
          <w:color w:val="555555"/>
          <w:sz w:val="17"/>
        </w:rPr>
        <w:t xml:space="preserve">Zitiervorschlag: § 16 TzBfG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https://recht.nulegal.eu/gesetze/TzBfG/16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