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TspV 2013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Wasser- und Schifffahrtsdirektion Mitte verordnet aufgrund</w:t>
      </w:r>
    </w:p>
    <w:p>
      <w:pPr>
        <w:ind w:left="420"/>
      </w:pPr>
      <w:r>
        <w:t xml:space="preserve">- des § 27 Absatz 1 und des § 46 Satz 1 Nummer 2 des Bundeswasserstraßengesetzes in der Fassung der Bekanntmachung vom 23. Mai 2007 (BGBl. I S. 962; 2008 1 S. 1980), § 27 Abs. 2 des Bundeswasserstraßengesetzes in Verbindung mit § 1 der Verordnung vom 15. April 1969 (BGBl. II S. 853) und § 46 Satz 1 Nummer 2 des Bundeswasserstraßengesetzes in Verbindung mit § 1 der Verordnung vom 24. Oktober 1969 (BGBl. II S. 2117),</w:t>
      </w:r>
    </w:p>
    <w:p>
      <w:pPr>
        <w:ind w:left="420"/>
      </w:pPr>
      <w:r>
        <w:t xml:space="preserve">- des § 3 Absatz 1 Nummer 1, 2, 2a, 3 bis 6, hinsichtlich des Absatzes 1 Nummer 1, 2 und 2a auch in Verbindung mit Absatz 2 Nummer 1, und Absatz 6 des Binnenschifffahrtsaufgabengesetzes in der Fassung der Bekanntmachung vom 5. Juli 2001 (BGBl. I S. 2026), von denen § 3 Absatz 1 Nummer 2a durch Artikel 1 Nummer 3 des Gesetzes vom 19. Juli 2005 (BGBl. I S. 2186) eingefügt, § 3 Absatz 1 Nummer 2 und Absatz 6, zuletzt durch Artikel 1 Nummer 3 des Gesetzes vom 19. Juli 2005 (BGBl. I S. 2186) und § 3 Absatz 1, zuletzt durch Artikel 313 der Verordnung vom 31. Oktober 2006 (BGBl. I S. 2407) geändert worden sind, in Verbindung mit § 1 der Binnenschifffahrt-Übertragungsverordnung vom 18. Dezember 2002 (BGBl. I S. 4580):</w:t>
      </w:r>
    </w:p>
    <w:p>
      <w:r>
        <w:rPr>
          <w:color w:val="555555"/>
          <w:sz w:val="17"/>
        </w:rPr>
        <w:t xml:space="preserve">Zitiervorschlag: Eingangsformel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