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TspV 2013 — Abweichungen von der Binnenschiffsuntersuchungsordnung</w:t>
      </w:r>
    </w:p>
    <w:p>
      <w:r>
        <w:rPr>
          <w:color w:val="555555"/>
          <w:sz w:val="18"/>
        </w:rPr>
        <w:t xml:space="preserve">Talsperrenverordnung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von der Generaldirektion Wasserstraßen und Schifffahrt im Verkehrsblatt oder Bundesanzeiger bekanntgemachte Wasserstraßen- und Schifffahrtsamt kann für eine Fähre von den Bestimmungen der Binnenschiffsuntersuchungsordnung und der Fährenbetriebsverordnung Ausnahmen zulassen, soweit die Sicherheit und Leichtigkeit des Verkehrs sowie strompolizeiliche Belange nicht beeinträchtigt werden.</w:t>
      </w:r>
    </w:p>
    <w:p>
      <w:r>
        <w:t xml:space="preserve">(2) Die Höhe eines zugelassenen Fahrzeugs über der Wasserlinie darf 13,00 m nicht überschreiten.</w:t>
      </w:r>
    </w:p>
    <w:p>
      <w:r>
        <w:rPr>
          <w:color w:val="555555"/>
          <w:sz w:val="17"/>
        </w:rPr>
        <w:t xml:space="preserve">Zitiervorschlag: § 8 TspV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https://recht.nulegal.eu/gesetze/TspV%202013/8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