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TspV 2013 — Bezeichnung der Fahrzeuge</w:t>
      </w:r>
    </w:p>
    <w:p>
      <w:r>
        <w:rPr>
          <w:color w:val="555555"/>
          <w:sz w:val="18"/>
        </w:rPr>
        <w:t xml:space="preserve">Talsperrenverordnung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Nacht und bei unsichtigem Wetter muss ein Fahrzeug die nach Kapitel 3 der Binnenschifffahrtsstraßen-Ordnung vorgeschriebene Bezeichnung führen. Dies gilt nicht für ein Fahrzeug, das am Ufer oder auf Dauerliegeplätzen stillliegt.</w:t>
      </w:r>
    </w:p>
    <w:p>
      <w:r>
        <w:rPr>
          <w:color w:val="555555"/>
          <w:sz w:val="17"/>
        </w:rPr>
        <w:t xml:space="preserve">Zitiervorschlag: § 7 TspV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https://recht.nulegal.eu/gesetze/TspV%202013/7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