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TspV 2013 — Kennzeichnung der Fahrzeuge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Eigentümer eines Fahrzeuges, mit Ausnahme eines Segelsurfbretts, muss sein Fahrzeug mit einem Kennzeichen nach Maßgabe der Binnenschifffahrt-Kennzeichnungsverordnung versehen. Für die Kennzeichnung eines Fahrgastschiffs oder einer Fähre gilt abweichend von Satz 1 der § 2.01 Nummer 1 bis 3 der Binnenschifffahrtsstraßen-Ordnung. Ein nach landesrechtlichen Vorschriften zugeteiltes Kennzeichen ist von dem von der Generaldirektion Wasserstraßen und Schifffahrt im Verkehrsblatt oder Bundesanzeiger bekanntgemachten Wasserstraßen- und Schifffahrtsamt auf Antrag anzuerkennen, soweit es unverwechselbar mit den Kennzeichen nach der Binnenschifffahrt-Kennzeichnungsverordnung ist.</w:t>
      </w:r>
    </w:p>
    <w:p>
      <w:r>
        <w:t xml:space="preserve">(2) Abweichend von Absatz 1 Satz 1 gilt für ein Fahrzeug,</w:t>
      </w:r>
    </w:p>
    <w:p>
      <w:pPr>
        <w:ind w:left="420"/>
      </w:pPr>
      <w:r>
        <w:t xml:space="preserve">1. das nur mit Muskelkraft fortbewegt wird,</w:t>
      </w:r>
    </w:p>
    <w:p>
      <w:pPr>
        <w:ind w:left="420"/>
      </w:pPr>
      <w:r>
        <w:t xml:space="preserve">2. bis zu 5,50 m Länge, das nur unter Segel fortbewegt werden kann, oder</w:t>
      </w:r>
    </w:p>
    <w:p>
      <w:pPr>
        <w:ind w:left="420"/>
      </w:pPr>
      <w:r>
        <w:t xml:space="preserve">3. mit Antriebsmaschine, deren effektive Nutzleistung nicht mehr als 2,21 kW beträgt,</w:t>
      </w:r>
    </w:p>
    <w:p>
      <w:r>
        <w:t xml:space="preserve">der § 2.02 Nummer 1 Binnenschifffahrtsstraßen-Ordnung.</w:t>
      </w:r>
    </w:p>
    <w:p>
      <w:r>
        <w:t xml:space="preserve">(3) Die Kennzeichnungspflicht gilt auch für ein stillliegendes Fahrzeug.</w:t>
      </w:r>
    </w:p>
    <w:p>
      <w:r>
        <w:rPr>
          <w:color w:val="555555"/>
          <w:sz w:val="17"/>
        </w:rPr>
        <w:t xml:space="preserve">Zitiervorschlag: § 6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