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TspV 2013 — Pflichten des Schiffsführers, des Eigentümers und des Ausrüsters</w:t>
      </w:r>
    </w:p>
    <w:p>
      <w:r>
        <w:rPr>
          <w:color w:val="555555"/>
          <w:sz w:val="18"/>
        </w:rPr>
        <w:t xml:space="preserve">Talsperrenverordnung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Schiffsführer hat sicherzustellen, dass</w:t>
      </w:r>
    </w:p>
    <w:p>
      <w:pPr>
        <w:ind w:left="420"/>
      </w:pPr>
      <w:r>
        <w:t xml:space="preserve">1. die Vorschriften über</w:t>
      </w:r>
    </w:p>
    <w:p>
      <w:pPr>
        <w:ind w:left="780"/>
      </w:pPr>
      <w:r>
        <w:t xml:space="preserve">a) das Stillliegen nach § 4 Absatz 1,</w:t>
      </w:r>
    </w:p>
    <w:p>
      <w:pPr>
        <w:ind w:left="780"/>
      </w:pPr>
      <w:r>
        <w:t xml:space="preserve">b) die Fahrt bei unsichtigem Wetter nach § 9 Absatz 2 Satz 1 und 3,</w:t>
      </w:r>
    </w:p>
    <w:p>
      <w:pPr>
        <w:ind w:left="780"/>
      </w:pPr>
      <w:r>
        <w:t xml:space="preserve">c) die Radarfahrt nach § 9 Absatz 2 Satz 2,</w:t>
      </w:r>
    </w:p>
    <w:p>
      <w:pPr>
        <w:ind w:left="780"/>
      </w:pPr>
      <w:r>
        <w:t xml:space="preserve">d) die Fahrregeln nach § 13 und</w:t>
      </w:r>
    </w:p>
    <w:p>
      <w:pPr>
        <w:ind w:left="780"/>
      </w:pPr>
      <w:r>
        <w:t xml:space="preserve">e) das Wasserskilaufen nach § 14 Absatz 1, 3 und 4</w:t>
      </w:r>
    </w:p>
    <w:p>
      <w:pPr>
        <w:ind w:left="420"/>
      </w:pPr>
      <w:r>
        <w:t xml:space="preserve">eingehalten werden,</w:t>
      </w:r>
    </w:p>
    <w:p>
      <w:pPr>
        <w:ind w:left="420"/>
      </w:pPr>
      <w:r>
        <w:t xml:space="preserve">2. auf seinem Fahrzeug bei Nacht und bei unsichtigem Wetter die nach § 7 Satz 1 in Verbindung mit Kapitel 3 der Binnenschifffahrtsstraßen-Ordnung vorgeschriebene Bezeichnung geführt wird,</w:t>
      </w:r>
    </w:p>
    <w:p>
      <w:pPr>
        <w:ind w:left="420"/>
      </w:pPr>
      <w:r>
        <w:t xml:space="preserve">3. die in § 10 Absatz 1 angegebenen abgegrenzten Wasserflächen nicht befahren werden,</w:t>
      </w:r>
    </w:p>
    <w:p>
      <w:pPr>
        <w:ind w:left="420"/>
      </w:pPr>
      <w:r>
        <w:t xml:space="preserve">4. sein Fahrzeug die nach § 12 Absatz 1 Satz 1, auch in Verbindung mit Absatz 2, zugelassene Höchstgeschwindigkeit nicht überschreitet,</w:t>
      </w:r>
    </w:p>
    <w:p>
      <w:pPr>
        <w:ind w:left="420"/>
      </w:pPr>
      <w:r>
        <w:t xml:space="preserve">5. die in § 19 genannten Urkunden an Bord mitgeführt und auf Verlangen den zur Kontrolle befugten Personen ausgehändigt werden.</w:t>
      </w:r>
    </w:p>
    <w:p>
      <w:r>
        <w:t xml:space="preserve">(2) Der Schiffsführer darf ein Fahrzeug nur führen, wenn das Fahrzeug nach § 6 Absatz 1 Satz 1 oder 2 oder nach Absatz 2, jeweils auch in Verbindung mit Absatz 3, in der dort vorgeschriebenen Weise gekennzeichnet ist.</w:t>
      </w:r>
    </w:p>
    <w:p>
      <w:r>
        <w:t xml:space="preserve">(3) Der Schiffsführer darf ein Fahrzeug nur führen, wenn das Fahrzeug die in § 8 Absatz 2 vorgeschriebene Höhe nicht überschreitet.</w:t>
      </w:r>
    </w:p>
    <w:p>
      <w:r>
        <w:t xml:space="preserve">(4) Der Eigentümer und der Ausrüster haben jeweils sicherzustellen, dass</w:t>
      </w:r>
    </w:p>
    <w:p>
      <w:pPr>
        <w:ind w:left="420"/>
      </w:pPr>
      <w:r>
        <w:t xml:space="preserve">1. ein Fahrzeug unter der Führung einer nach § 5 Absatz 1 Satz 1 in Verbindung mit Absatz 2 Satz 1 und 3 geeigneten Person steht und</w:t>
      </w:r>
    </w:p>
    <w:p>
      <w:pPr>
        <w:ind w:left="420"/>
      </w:pPr>
      <w:r>
        <w:t xml:space="preserve">2. der Schiffsführer eines Fahrzeugs mit Antriebsmaschine den Regelungen über das Mindestalter nach § 5 Absatz 2 Satz 2, auch in Verbindung mit Absatz 5, genügt.</w:t>
      </w:r>
    </w:p>
    <w:p>
      <w:r>
        <w:t xml:space="preserve">(5) Der Eigentümer und der Ausrüster haben jeweils dafür zu sorgen, dass die in § 19 genannten Urkunden an Bord mitgeführt werden.</w:t>
      </w:r>
    </w:p>
    <w:p>
      <w:r>
        <w:t xml:space="preserve">(6) Der Eigentümer und der Ausrüster dürfen jeweils die Radarfahrt eines Fahrzeugs nur anordnen oder zulassen, wenn es nach § 9 Absatz 2 Satz 2 in Verbindung mit § 6.32 Nummer 1 Satz 1 der Binnenschifffahrtsstraßen-Ordnung vorschriftsmäßig besetzt ist.</w:t>
      </w:r>
    </w:p>
    <w:p>
      <w:r>
        <w:rPr>
          <w:color w:val="555555"/>
          <w:sz w:val="17"/>
        </w:rPr>
        <w:t xml:space="preserve">Zitiervorschlag: § 23 TspV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https://recht.nulegal.eu/gesetze/TspV%202013/23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