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TspV 2013 — Auflagen</w:t>
      </w:r>
    </w:p>
    <w:p>
      <w:r>
        <w:rPr>
          <w:color w:val="555555"/>
          <w:sz w:val="18"/>
        </w:rPr>
        <w:t xml:space="preserve">Talsperrenverordnung</w:t>
      </w:r>
    </w:p>
    <w:p>
      <w:r>
        <w:rPr>
          <w:color w:val="555555"/>
          <w:sz w:val="18"/>
        </w:rPr>
        <w:t xml:space="preserve">Stand: 10.06.2019 (konsolidierte Textfassung, kein amtliches Inkrafttretensdatum)</w:t>
      </w:r>
    </w:p>
    <w:p>
      <w:r>
        <w:t xml:space="preserve">Liegen die Voraussetzungen der §§ 48 oder 49 des Verwaltungsverfahrensgesetzes vor, kann die zuständige Behörde an Stelle der Rücknahme oder des Widerrufs eine Erlaubnis oder Genehmigung nach dieser Verordnung auch nachträglich befristen und mit Auflagen versehen.</w:t>
      </w:r>
    </w:p>
    <w:p>
      <w:r>
        <w:rPr>
          <w:color w:val="555555"/>
          <w:sz w:val="17"/>
        </w:rPr>
        <w:t xml:space="preserve">Zitiervorschlag: § 22 TspV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https://recht.nulegal.eu/gesetze/TspV%202013/22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