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TspV 2013 — Begriffsbestimmungen und anzuwendende Vorschriften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18.01.2022 (konsolidierte Textfassung, kein amtliches Inkrafttretensdatum)</w:t>
      </w:r>
    </w:p>
    <w:p>
      <w:r>
        <w:t xml:space="preserve">(1) Soweit diese Verordnung auf bestimmte Rechtsverordnungen verweist, bedeuten:</w:t>
      </w:r>
    </w:p>
    <w:p>
      <w:pPr>
        <w:ind w:left="420"/>
      </w:pPr>
      <w:r>
        <w:t xml:space="preserve">1. Binnenschifffahrtsstraßen-Ordnung:Anlage zu § 1 Absatz 1 der Verordnung zur Einführung der Binnenschifffahrtsstraßen-Ordnung vom 16. Dezember 2011 (BGBl. 2012 I S. 2, 1666), die zuletzt durch Artikel 2 der Verordnung vom 22. September 2021 (BGBl. I S. 4371) geändert worden ist, in der jeweils geltenden und anzuwendenden Fassung,</w:t>
      </w:r>
    </w:p>
    <w:p>
      <w:pPr>
        <w:ind w:left="420"/>
      </w:pPr>
      <w:r>
        <w:t xml:space="preserve">2. Sportbootführerscheinverordnung:Sportbootführerscheinverordnung vom 3. Mai 2017 (BGBl. I S. 1016, 4043), die zuletzt durch Artikel 11 der Verordnung vom 31. Oktober 2019 (BGBl. I S. 1518) geändert worden ist, in der jeweils geltenden Fassung,</w:t>
      </w:r>
    </w:p>
    <w:p>
      <w:pPr>
        <w:ind w:left="420"/>
      </w:pPr>
      <w:r>
        <w:t xml:space="preserve">3. Binnenschifffahrt-Sportbootvermietungsverordnung:Binnenschifffahrt-Sportbootvermietungsverordnung vom 18. April 2000 (BGBl. I S. 572), die zuletzt durch Artikel 130 des Gesetzes vom 10. August 2021 (BGBl. I S. 3436) geändert worden ist, in der jeweils geltenden und anzuwendenden Fassung,</w:t>
      </w:r>
    </w:p>
    <w:p>
      <w:pPr>
        <w:ind w:left="420"/>
      </w:pPr>
      <w:r>
        <w:t xml:space="preserve">4. Binnenschiffspersonalverordnung:Binnenschiffspersonalverordnung vom 26. November 2021 (BGBl. I S. 4982) in der jeweils geltenden und anzuwendenden Fassung,</w:t>
      </w:r>
    </w:p>
    <w:p>
      <w:pPr>
        <w:ind w:left="420"/>
      </w:pPr>
      <w:r>
        <w:t xml:space="preserve">5. Binnenschifffahrt-Kennzeichnungsverordnung:Binnenschifffahrt-Kennzeichnungsverordnung vom 21. Februar 1995 (BGBl. I S. 226), die zuletzt durch Artikel 2 § 4 der Verordnung vom 21. September 2018 (BGBl. I S. 1398) geändert worden ist, in der jeweils geltenden Fassung,</w:t>
      </w:r>
    </w:p>
    <w:p>
      <w:pPr>
        <w:ind w:left="420"/>
      </w:pPr>
      <w:r>
        <w:t xml:space="preserve">6. Binnenschiffsuntersuchungsordnung:Binnenschiffsuntersuchungsordnung vom 21. September 2018 (BGBl. I S. 1398, 2032), die durch Artikel 7 der Verordnung vom 31. Oktober 2019 (BGBl. I S. 1518) geändert worden ist, in der jeweils geltenden und anzuwendenden Fassung,</w:t>
      </w:r>
    </w:p>
    <w:p>
      <w:pPr>
        <w:ind w:left="420"/>
      </w:pPr>
      <w:r>
        <w:t xml:space="preserve">7. Fährenbetriebsverordnung:Fährenbetriebsverordnung vom 24. Mai 1995 (BGBl. I S. 752), die zuletzt durch Artikel 2 § 5 der Verordnung vom 21. September 2018 (BGBl. I S. 1398) geändert worden ist, in der jeweils geltenden Fassung,</w:t>
      </w:r>
    </w:p>
    <w:p>
      <w:pPr>
        <w:ind w:left="420"/>
      </w:pPr>
      <w:r>
        <w:t xml:space="preserve">8. Wasserskiverordnung:Wasserskiverordnung vom 17. Januar 1990 (BGBl. I S. 107), die zuletzt durch Artikel 36 der Verordnung vom 2. Juni 2016 (BGBl. S. 1257) geändert worden ist, in der jeweils geltenden Fassung.</w:t>
      </w:r>
    </w:p>
    <w:p>
      <w:r>
        <w:t xml:space="preserve">(2) Es gelten die Begriffsbestimmungen des § 1.01 der Binnenschifffahrtsstraßen-Ordnung, soweit in Satz 2 nichts anderes bestimmt ist. Im Sinne dieser Verordnung sind ferner</w:t>
      </w:r>
    </w:p>
    <w:p>
      <w:pPr>
        <w:ind w:left="420"/>
      </w:pPr>
      <w:r>
        <w:t xml:space="preserve">1. Talsperren: die Edertalsperre und die Diemeltalsperre; zu den Talsperren gehören die zusammenhängenden Wasserflächen, die Inseln und die im Eigentum des Bundes stehenden Ufer- und Stauraumflächen,</w:t>
      </w:r>
    </w:p>
    <w:p>
      <w:pPr>
        <w:ind w:left="420"/>
      </w:pPr>
      <w:r>
        <w:t xml:space="preserve">2. Sportfahrzeug: ein Fahrzeug, dessen Schiffskörper, ohne Ruder und Bugspriet, eine Höchstlänge von weniger als 15,00 m aufweist, und das für Sport- oder Erholungszwecke verwendet wird, ausgenommen ein Segelsurfbrett, ein Amphibienfahrzeug, ein Luftkissenfahrzeug oder ein Tragflügelboot,</w:t>
      </w:r>
    </w:p>
    <w:p>
      <w:pPr>
        <w:ind w:left="420"/>
      </w:pPr>
      <w:r>
        <w:t xml:space="preserve">3. Fahrgastschiff: ein Fahrzeug, das zur Beförderung von mehr als 12 Personen gebaut und eingerichtet ist,</w:t>
      </w:r>
    </w:p>
    <w:p>
      <w:pPr>
        <w:ind w:left="420"/>
      </w:pPr>
      <w:r>
        <w:t xml:space="preserve">4. Wasserskizugboot: ein Fahrzeug zum Ziehen von Wasserskiläufern,</w:t>
      </w:r>
    </w:p>
    <w:p>
      <w:pPr>
        <w:ind w:left="420"/>
      </w:pPr>
      <w:r>
        <w:t xml:space="preserve">5. Wassermotorrad: ein Kleinfahrzeug, das als Personal Water Craft wie „Wasserbob", „Wasserscooter", „Jetbike" oder „Jetski" bezeichnet wird, oder ein sonstiges gleichartiges Fahrzeug,</w:t>
      </w:r>
    </w:p>
    <w:p>
      <w:pPr>
        <w:ind w:left="420"/>
      </w:pPr>
      <w:r>
        <w:t xml:space="preserve">6. Stauraum: eine Fläche, die im Rahmen wechselnder Wasserstände bis zum Höchststau überflutet wird.</w:t>
      </w:r>
    </w:p>
    <w:p>
      <w:pPr>
        <w:ind w:left="420"/>
      </w:pPr>
      <w:r>
        <w:t xml:space="preserve">7. Kitesurfen: jede Betätigung, bei der eine Person, von einem Drachen oder Fallschirm gezogen, auf einem Surfboard, auf Wasserskiern oder auf sonstigen Gegenständen über das Wasser gleitet.</w:t>
      </w:r>
    </w:p>
    <w:p>
      <w:r>
        <w:rPr>
          <w:color w:val="555555"/>
          <w:sz w:val="17"/>
        </w:rPr>
        <w:t xml:space="preserve">Zitiervorschlag: § 2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