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TspV 2013 — Anordnungen vorübergehender Art</w:t>
      </w:r>
    </w:p>
    <w:p>
      <w:r>
        <w:rPr>
          <w:color w:val="555555"/>
          <w:sz w:val="18"/>
        </w:rPr>
        <w:t xml:space="preserve">Talsperrenverordnung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von der Generaldirektion Wasserstraßen und Schifffahrt im Verkehrsblatt oder Bundesanzeiger bekanntgemachte Wasserstraßen- und Schifffahrtsamt kann aus besonderen Anlässen Anordnungen vorübergehender Art zur Gewährleistung der Sicherheit und Leichtigkeit des Verkehrs auf den Talsperren und strompolizeiliche Verfügungen zur Abwehr strompolizeilicher Gefahren erlassen.</w:t>
      </w:r>
    </w:p>
    <w:p>
      <w:r>
        <w:rPr>
          <w:color w:val="555555"/>
          <w:sz w:val="17"/>
        </w:rPr>
        <w:t xml:space="preserve">Zitiervorschlag: § 18 TspV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https://recht.nulegal.eu/gesetze/TspV%202013/18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