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TspV 2013 — Geschwindigkeit</w:t>
      </w:r>
    </w:p>
    <w:p>
      <w:r>
        <w:rPr>
          <w:color w:val="555555"/>
          <w:sz w:val="18"/>
        </w:rPr>
        <w:t xml:space="preserve">Talsperrenverordnung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zulässige Höchstgeschwindigkeit gegenüber dem Ufer beträgt für ein Fahrzeug mit Maschinenantrieb 15 km/h. Dies gilt nicht für ein Wasserskizugboot, das einen Wasserskiläufer in einem dafür freigegebenen Wasserskigebiet zieht.</w:t>
      </w:r>
    </w:p>
    <w:p>
      <w:r>
        <w:t xml:space="preserve">(2) Unbeschadet des Absatzes 1 ist die Geschwindigkeit den Verhältnissen anzupassen. Sog- und Wellenschlag, insbesondere in der Nähe einer Bootssteganlage und einer Schiffsanlegestelle, ist zu vermeiden.</w:t>
      </w:r>
    </w:p>
    <w:p>
      <w:r>
        <w:rPr>
          <w:color w:val="555555"/>
          <w:sz w:val="17"/>
        </w:rPr>
        <w:t xml:space="preserve">Zitiervorschlag: § 12 TspV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https://recht.nulegal.eu/gesetze/TspV%202013/12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