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TspV 2013 — Geltungsbereich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auf der Edertalsperre und der Diemeltalsperre</w:t>
      </w:r>
    </w:p>
    <w:p>
      <w:pPr>
        <w:ind w:left="420"/>
      </w:pPr>
      <w:r>
        <w:t xml:space="preserve">1. die Zulassung des Befahrens,</w:t>
      </w:r>
    </w:p>
    <w:p>
      <w:pPr>
        <w:ind w:left="420"/>
      </w:pPr>
      <w:r>
        <w:t xml:space="preserve">2. die Anforderungen an die Befähigung eines Schiffsführers,</w:t>
      </w:r>
    </w:p>
    <w:p>
      <w:pPr>
        <w:ind w:left="420"/>
      </w:pPr>
      <w:r>
        <w:t xml:space="preserve">3. die Kennzeichnung und Bezeichnung eines Fahrzeugs,</w:t>
      </w:r>
    </w:p>
    <w:p>
      <w:pPr>
        <w:ind w:left="420"/>
      </w:pPr>
      <w:r>
        <w:t xml:space="preserve">4. die Anforderungen an Bau, Ausrüstung und Besatzung eines Fahrzeugs,</w:t>
      </w:r>
    </w:p>
    <w:p>
      <w:pPr>
        <w:ind w:left="420"/>
      </w:pPr>
      <w:r>
        <w:t xml:space="preserve">5. das Verhalten im Verkehr und</w:t>
      </w:r>
    </w:p>
    <w:p>
      <w:pPr>
        <w:ind w:left="420"/>
      </w:pPr>
      <w:r>
        <w:t xml:space="preserve">6. die Maßnahmen zur Abwehr von strom- und schifffahrtspolizeilichen Gefahren.</w:t>
      </w:r>
    </w:p>
    <w:p>
      <w:r>
        <w:rPr>
          <w:color w:val="555555"/>
          <w:sz w:val="17"/>
        </w:rPr>
        <w:t xml:space="preserve">Zitiervorschlag: § 1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