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TroncV (Bayern)</w:t>
      </w:r>
    </w:p>
    <w:p>
      <w:r>
        <w:rPr>
          <w:color w:val="555555"/>
          <w:sz w:val="18"/>
        </w:rPr>
        <w:t xml:space="preserve">Verordnung über die Verwendung des Tronc der Spielbanken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6 Abs. 3 des Gesetzes über Spielbanken im Freistaat Bayern vom 26. Juli 1995 (GVBl S. 350, BayRS 2187-1-I) erläßt das Bayerische Staatsministerium des Innern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TroncV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https://recht.nulegal.eu/gesetze/TroncV/eingangsformel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