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TroncV (Bayern)</w:t>
      </w:r>
    </w:p>
    <w:p>
      <w:r>
        <w:rPr>
          <w:color w:val="555555"/>
          <w:sz w:val="18"/>
        </w:rPr>
        <w:t xml:space="preserve">Verordnung über die Verwendung des Tronc der Spielbanken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Januar 1996 in Kraft.</w:t>
      </w:r>
    </w:p>
    <w:p>
      <w:r>
        <w:t xml:space="preserve">(2) Gleichzeitig tritt die Verordnung über die Verwendung des Tronc der öffentlichen Spielbanken in Bayern (Troncsatzung) vom 12. März 1990 (GVBl S. 74, BayRS 2187-1-1-1-I) außer Kraft.</w:t>
      </w:r>
    </w:p>
    <w:p>
      <w:r>
        <w:rPr>
          <w:color w:val="555555"/>
          <w:sz w:val="17"/>
        </w:rPr>
        <w:t xml:space="preserve">Zitiervorschlag: § 3 TroncV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https://recht.nulegal.eu/gesetze/TroncV/3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