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TriticaleV 2019</w:t>
      </w:r>
    </w:p>
    <w:p>
      <w:r>
        <w:rPr>
          <w:color w:val="555555"/>
          <w:sz w:val="18"/>
        </w:rPr>
        <w:t xml:space="preserve">Verordnung über besondere Anforderungen an Saatgut von Triticale im Rahmen der Saatgutanerkennung 2019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Diese Verordnung tritt am Tag nach der Verkündung in Kraft und mit Ablauf des 31. Juli 2019 außer Kraft.</w:t>
      </w:r>
    </w:p>
    <w:p>
      <w:r>
        <w:rPr>
          <w:color w:val="555555"/>
          <w:sz w:val="17"/>
        </w:rPr>
        <w:t xml:space="preserve">Zitiervorschlag: § 3 TriticaleV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https://recht.nulegal.eu/gesetze/TriticaleV%202019/3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