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TrinkwV 2023 — Abgabeverbot</w:t>
      </w:r>
    </w:p>
    <w:p>
      <w:r>
        <w:rPr>
          <w:color w:val="555555"/>
          <w:sz w:val="18"/>
        </w:rPr>
        <w:t xml:space="preserve">Trinkwasserverordnung</w:t>
      </w:r>
    </w:p>
    <w:p>
      <w:r>
        <w:rPr>
          <w:color w:val="555555"/>
          <w:sz w:val="18"/>
        </w:rPr>
        <w:t xml:space="preserve">Stand: 25.06.2023 (konsolidierte Textfassung, kein amtliches Inkrafttretensdatum)</w:t>
      </w:r>
    </w:p>
    <w:p>
      <w:r>
        <w:t xml:space="preserve">(1) Der Betreiber einer Wasserversorgungsanlage darf Wasser nicht als Trinkwasser abgeben und anderen nicht zur Verfügung stellen, wenn</w:t>
      </w:r>
    </w:p>
    <w:p>
      <w:pPr>
        <w:ind w:left="420"/>
      </w:pPr>
      <w:r>
        <w:t xml:space="preserve">1. die Grenzwerte oder Höchstwerte nach § 6 Absatz 1 bis 4 für mikrobiologische Parameter nicht eingehalten sind,</w:t>
      </w:r>
    </w:p>
    <w:p>
      <w:pPr>
        <w:ind w:left="420"/>
      </w:pPr>
      <w:r>
        <w:t xml:space="preserve">2. die Grenzwerte oder Höchstwerte nach § 7 Absatz 1 bis 3 für chemische Parameter nicht eingehalten sind oder</w:t>
      </w:r>
    </w:p>
    <w:p>
      <w:pPr>
        <w:ind w:left="420"/>
      </w:pPr>
      <w:r>
        <w:t xml:space="preserve">3. die Grenzwerte oder Anforderungen nach § 8 Absatz 1 und 2 in Verbindung mit Anlage 3 Teil I für Indikatorparameter nicht eingehalten sind.</w:t>
      </w:r>
    </w:p>
    <w:p>
      <w:r>
        <w:t xml:space="preserve">(2) Absatz 1 gilt nicht,</w:t>
      </w:r>
    </w:p>
    <w:p>
      <w:pPr>
        <w:ind w:left="420"/>
      </w:pPr>
      <w:r>
        <w:t xml:space="preserve">1. wenn eine Anzeige nach § 47 erfolgt ist, vom Zeitpunkt der Anzeige bis zur Entscheidung des Gesundheitsamts über nach den §§ 62 bis 68 zu treffende Maßnahmen, es sei denn, die Voraussetzungen für eine sofortige Unterbrechung der Wasserversorgung nach § 63 Absatz 3 sind erfüllt,</w:t>
      </w:r>
    </w:p>
    <w:p>
      <w:pPr>
        <w:ind w:left="420"/>
      </w:pPr>
      <w:r>
        <w:t xml:space="preserve">2. soweit das Gesundheitsamt eine Beurteilung nach § 62 Absatz 1 vorgenommen oder eine Entscheidung nach § 63 Absatz 1 Satz 3 Nummer 2 getroffen hat, nach der die betroffene Wasserversorgungsanlage oder Teile derselben weiterbetrieben werden können,</w:t>
      </w:r>
    </w:p>
    <w:p>
      <w:pPr>
        <w:ind w:left="420"/>
      </w:pPr>
      <w:r>
        <w:t xml:space="preserve">3. soweit für Eigenwasserversorgungsanlagen für chemische Parameter eine Duldung nach § 65 Absatz 4 gilt,</w:t>
      </w:r>
    </w:p>
    <w:p>
      <w:pPr>
        <w:ind w:left="420"/>
      </w:pPr>
      <w:r>
        <w:t xml:space="preserve">4. soweit für Indikatorparameter eine Duldung nach § 65 Absatz 3 Satz 2 und 3 gilt oder</w:t>
      </w:r>
    </w:p>
    <w:p>
      <w:pPr>
        <w:ind w:left="420"/>
      </w:pPr>
      <w:r>
        <w:t xml:space="preserve">5. soweit für chemische Parameter eine Abweichung nach § 66 Absatz 1, 2, 3 und 6 zugelassen ist.</w:t>
      </w:r>
    </w:p>
    <w:p>
      <w:r>
        <w:rPr>
          <w:color w:val="555555"/>
          <w:sz w:val="17"/>
        </w:rPr>
        <w:t xml:space="preserve">Zitiervorschlag: § 49 TrinkwV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https://recht.nulegal.eu/gesetze/TrinkwV%202023/49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