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39 TrinkwV 2023 — Beauftragung einer zugelassenen Untersuchungsstelle</w:t>
      </w:r>
    </w:p>
    <w:p>
      <w:r>
        <w:rPr>
          <w:color w:val="555555"/>
          <w:sz w:val="18"/>
        </w:rPr>
        <w:t xml:space="preserve">Trinkwasserverordnung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(1) Die nach dieser Verordnung erforderlichen Untersuchungen des Trinkwassers einschließlich der Probennahmen dürfen nur von dafür zugelassenen Untersuchungsstellen durchgeführt werden.</w:t>
      </w:r>
    </w:p>
    <w:p>
      <w:r>
        <w:t xml:space="preserve">(2) Absatz 1 gilt nicht für Untersuchungen auf den Betriebsparameter Trübung nach § 24 und betriebliche Untersuchungen nach § 30 Absatz 2. Werden diese Untersuchungen mit Messgeräten durchgeführt, sind diese nach Herstellerangaben zu betreiben und zu warten und ebenso wie die Untersuchungsverfahren in eine betriebsinterne Qualitätssicherung einzubeziehen.</w:t>
      </w:r>
    </w:p>
    <w:p>
      <w:r>
        <w:t xml:space="preserve">(3) Ein Untersuchungsauftrag an eine zugelassene Untersuchungsstelle muss sich auch auf die Durchführung der Probennahme für die jeweilige Untersuchung erstrecken.</w:t>
      </w:r>
    </w:p>
    <w:p>
      <w:r>
        <w:t xml:space="preserve">(4) Bei der Beauftragung der zugelassenen Untersuchungsstelle stellt der Betreiber einer Wasserversorgungsanlage vertraglich sicher, dass die zugelassene Untersuchungsstelle ihn unverzüglich in Kenntnis zu setzen hat über:</w:t>
      </w:r>
    </w:p>
    <w:p>
      <w:pPr>
        <w:ind w:left="420"/>
      </w:pPr>
      <w:r>
        <w:t xml:space="preserve">1. festgestellte Abweichungen von den in den §§ 6 bis 8 festgelegten Grenzwerten, Höchstwerten oder Anforderungen für mikrobiologische und chemische Parameter sowie Indikatorparameter,</w:t>
      </w:r>
    </w:p>
    <w:p>
      <w:pPr>
        <w:ind w:left="420"/>
      </w:pPr>
      <w:r>
        <w:t xml:space="preserve">2. ein Erreichen des in § 51 Absatz 1 in Verbindung mit Anlage 3 Teil II festgelegten technischen Maßnahmenwerts für den Parameter Legionella spec. und über die erfolgte Anzeige nach § 53 Absatz 1 an das zuständige Gesundheitsamt und</w:t>
      </w:r>
    </w:p>
    <w:p>
      <w:pPr>
        <w:ind w:left="420"/>
      </w:pPr>
      <w:r>
        <w:t xml:space="preserve">3. eine Überschreitung der nach § 9 Satz 2 in Verbindung mit Anlage 4 Teil I festgelegten Parameterwerte für radioaktive Stoffe.</w:t>
      </w:r>
    </w:p>
    <w:p>
      <w:r>
        <w:rPr>
          <w:color w:val="555555"/>
          <w:sz w:val="17"/>
        </w:rPr>
        <w:t xml:space="preserve">Zitiervorschlag: § 39 TrinkwV 2023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https://recht.nulegal.eu/gesetze/TrinkwV%202023/39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