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TrinkwV 2023 — Vorschlag für eine Anpassung oder Beibehaltung des Untersuchungsplans oder für die Bestimmung von Untersuchungspflichten</w:t>
      </w:r>
    </w:p>
    <w:p>
      <w:r>
        <w:rPr>
          <w:color w:val="555555"/>
          <w:sz w:val="18"/>
        </w:rPr>
        <w:t xml:space="preserve">Trinkwasserverordnung</w:t>
      </w:r>
    </w:p>
    <w:p>
      <w:r>
        <w:rPr>
          <w:color w:val="555555"/>
          <w:sz w:val="18"/>
        </w:rPr>
        <w:t xml:space="preserve">Stand: 25.06.2023 (konsolidierte Textfassung, kein amtliches Inkrafttretensdatum)</w:t>
      </w:r>
    </w:p>
    <w:p>
      <w:r>
        <w:t xml:space="preserve">(1) Der Vorschlag zur Anpassung oder Beibehaltung des Untersuchungsplans nach § 35 Absatz 3 Satz 2 Nummer 3 oder der Vorschlag für die Bestimmung von Untersuchungspflichten nach § 35 Absatz 3 Satz 2 Nummer 4</w:t>
      </w:r>
    </w:p>
    <w:p>
      <w:pPr>
        <w:ind w:left="420"/>
      </w:pPr>
      <w:r>
        <w:t xml:space="preserve">1. erfolgt auf Grundlage der Risikoabschätzung nach § 35 Absatz 2 Nummer 2,</w:t>
      </w:r>
    </w:p>
    <w:p>
      <w:pPr>
        <w:ind w:left="420"/>
      </w:pPr>
      <w:r>
        <w:t xml:space="preserve">2. berücksichtigt die in Betracht kommenden Ursachen für das mögliche Vorhandensein untersuchungspflichtiger chemischer Stoffe oder Mikroorganismen im Trinkwasser,</w:t>
      </w:r>
    </w:p>
    <w:p>
      <w:pPr>
        <w:ind w:left="420"/>
      </w:pPr>
      <w:r>
        <w:t xml:space="preserve">3. berücksichtigt mögliche Schwankungen und langfristige Entwicklungen der Konzentration der untersuchungspflichtigen chemischen Stoffe oder Mikroorganismen im Trinkwasser,</w:t>
      </w:r>
    </w:p>
    <w:p>
      <w:pPr>
        <w:ind w:left="420"/>
      </w:pPr>
      <w:r>
        <w:t xml:space="preserve">4. basiert auf dem Vorkommen einzelner chemischer Stoffe oder Mikroorganismen im Rohwasser gemäß der Bewertung des Einzugsgebiets der Entnahmestellen für die Trinkwassergewinnung und dem Risikomanagement für dieses Einzugsgebiet nach der auf Grund von § 50 Absatz 4a des Wasserhaushaltsgesetzes zu erlassenden Rechtsverordnung,</w:t>
      </w:r>
    </w:p>
    <w:p>
      <w:pPr>
        <w:ind w:left="420"/>
      </w:pPr>
      <w:r>
        <w:t xml:space="preserve">5. berücksichtigt die Aufbereitungsstoffe oder Desinfektionsverfahren, die als Ursachen für das Vorhandensein einzelner chemischer Stoffe in Betracht kommen, und</w:t>
      </w:r>
    </w:p>
    <w:p>
      <w:pPr>
        <w:ind w:left="420"/>
      </w:pPr>
      <w:r>
        <w:t xml:space="preserve">6. muss, wenn eine unveränderte Beibehaltung des Untersuchungsplans vorgeschlagen wird, die Erklärung des Betreibers enthalten, dass entsprechend dem Risikomanagement und unter Berücksichtigung der Nummern 2 bis 5 keine Anpassung des Untersuchungsplans erforderlich ist.</w:t>
      </w:r>
    </w:p>
    <w:p>
      <w:r>
        <w:t xml:space="preserve">(2) In einem Vorschlag zur Anpassung des Untersuchungsplans nach Absatz 1 kann vorgeschlagen werden,</w:t>
      </w:r>
    </w:p>
    <w:p>
      <w:pPr>
        <w:ind w:left="420"/>
      </w:pPr>
      <w:r>
        <w:t xml:space="preserve">1. einen Parameter von den Untersuchungen auszunehmen, wenn die Dokumentation der Durchführung und der Ergebnisse des Risikomanagements nach § 35 Absatz 3 ausweist, dass seit mindestens drei Jahren die Messwerte von mindestens zwei Proben, die regelmäßig und an für die Wasserversorgungsanlage repräsentativen Probennahmestellen genommen wurden, und aller weiteren in diesem Zeitraum entsprechend genommenen Proben jeweils weniger als 30 Prozent des Grenzwerts nach dieser Verordnung betragen haben; die Messunsicherheit wird bei der Bewertung der Messergebnisse nicht berücksichtigt und</w:t>
      </w:r>
    </w:p>
    <w:p>
      <w:pPr>
        <w:ind w:left="420"/>
      </w:pPr>
      <w:r>
        <w:t xml:space="preserve">2. für einen Parameter die Häufigkeit der Untersuchungen zu verringern, wenn die Dokumentation der Durchführung und der Ergebnisse des Risikomanagements nach § 35 Absatz 3 ausweist, dass seit mindestens drei Jahren die Messwerte von mindestens zwei Proben, die regelmäßig und an für die Wasserversorgungsanlage repräsentativen Probennahmestellen genommen wurden, und aller weiteren in diesem Zeitraum entsprechend genommenen Proben jeweils weniger als 60 Prozent des Grenzwerts nach dieser Verordnung betragen haben; die Messunsicherheit wird bei der Bewertung der Messergebnisse nicht berücksichtigt.</w:t>
      </w:r>
    </w:p>
    <w:p>
      <w:r>
        <w:t xml:space="preserve">(3) In einem Vorschlag zur Anpassung des Untersuchungsplans nach Absatz 1 darf in Bezug auf die folgenden Parameter keine Reduzierung des Umfangs oder der Häufigkeit von Untersuchungen vorgeschlagen werden:</w:t>
      </w:r>
    </w:p>
    <w:p>
      <w:pPr>
        <w:ind w:left="420"/>
      </w:pPr>
      <w:r>
        <w:t xml:space="preserve">1. die mikrobiologischen Parameter Escherichia coli und intestinale Enterokokken sowie</w:t>
      </w:r>
    </w:p>
    <w:p>
      <w:pPr>
        <w:ind w:left="420"/>
      </w:pPr>
      <w:r>
        <w:t xml:space="preserve">2. die Indikatorparameter</w:t>
      </w:r>
    </w:p>
    <w:p>
      <w:pPr>
        <w:ind w:left="780"/>
      </w:pPr>
      <w:r>
        <w:t xml:space="preserve">a) Clostridium perfringens, einschließlich Sporen,</w:t>
      </w:r>
    </w:p>
    <w:p>
      <w:pPr>
        <w:ind w:left="780"/>
      </w:pPr>
      <w:r>
        <w:t xml:space="preserve">b) Coliforme Bakterien,</w:t>
      </w:r>
    </w:p>
    <w:p>
      <w:pPr>
        <w:ind w:left="780"/>
      </w:pPr>
      <w:r>
        <w:t xml:space="preserve">c) Geruch,</w:t>
      </w:r>
    </w:p>
    <w:p>
      <w:pPr>
        <w:ind w:left="780"/>
      </w:pPr>
      <w:r>
        <w:t xml:space="preserve">d) Geschmack,</w:t>
      </w:r>
    </w:p>
    <w:p>
      <w:pPr>
        <w:ind w:left="780"/>
      </w:pPr>
      <w:r>
        <w:t xml:space="preserve">e) Koloniezahl bei 22 Grad Celsius,</w:t>
      </w:r>
    </w:p>
    <w:p>
      <w:pPr>
        <w:ind w:left="780"/>
      </w:pPr>
      <w:r>
        <w:t xml:space="preserve">f) Koloniezahl bei 36 Grad Celsius,</w:t>
      </w:r>
    </w:p>
    <w:p>
      <w:pPr>
        <w:ind w:left="780"/>
      </w:pPr>
      <w:r>
        <w:t xml:space="preserve">g) organisch gebundener Kohlenstoff,</w:t>
      </w:r>
    </w:p>
    <w:p>
      <w:pPr>
        <w:ind w:left="780"/>
      </w:pPr>
      <w:r>
        <w:t xml:space="preserve">h) elektrische Leitfähigkeit und</w:t>
      </w:r>
    </w:p>
    <w:p>
      <w:pPr>
        <w:ind w:left="780"/>
      </w:pPr>
      <w:r>
        <w:t xml:space="preserve">i) Wasserstoffionenkonzentration.</w:t>
      </w:r>
    </w:p>
    <w:p>
      <w:r>
        <w:t xml:space="preserve">(4) Für bestimmte Parameter einschließlich der in Absatz 3 genannten Parameter ist ein gegenüber den Vorgaben des § 28 erweiterter Umfang oder eine höhere Häufigkeit von Untersuchungen für die Anpassung des Untersuchungsplans nach Absatz 1 vorzuschlagen, wenn dies erforderlich ist, um die den Anforderungen nach Abschnitt 2 entsprechende Beschaffenheit des Trinkwassers sicherzustellen.</w:t>
      </w:r>
    </w:p>
    <w:p>
      <w:r>
        <w:t xml:space="preserve">(5) Für den jeweiligen Parameter ist die Häufigkeit der Untersuchungen und der Ort der Probennahmen im Untersuchungsplan vorzuschlagen unter Berücksichtigung</w:t>
      </w:r>
    </w:p>
    <w:p>
      <w:pPr>
        <w:ind w:left="420"/>
      </w:pPr>
      <w:r>
        <w:t xml:space="preserve">1. der in Betracht kommenden Ursachen für das mögliche Vorhandensein der entsprechenden chemischen Stoffe oder Mikroorganismen im Trinkwasser und</w:t>
      </w:r>
    </w:p>
    <w:p>
      <w:pPr>
        <w:ind w:left="420"/>
      </w:pPr>
      <w:r>
        <w:t xml:space="preserve">2. möglicher Schwankungen und langfristiger Entwicklungen der Konzentration der entsprechenden chemischen Stoffe oder Mikroorganismen im Trinkwasser.</w:t>
      </w:r>
    </w:p>
    <w:p>
      <w:r>
        <w:t xml:space="preserve">(6) Über die Untersuchungen nach § 36 Absatz 1 hinausgehende Untersuchungen des Rohwassers auf den Indikatorparameter somatische Coliphagen sind in den Vorschlägen nach Absatz 1 zu berücksichtigen, sofern sich aus der Bewertung nach § 35 Absatz 2 Nummer 9 ein entsprechendes Erfordernis ergibt.</w:t>
      </w:r>
    </w:p>
    <w:p>
      <w:r>
        <w:rPr>
          <w:color w:val="555555"/>
          <w:sz w:val="17"/>
        </w:rPr>
        <w:t xml:space="preserve">Zitiervorschlag: § 37 TrinkwV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https://recht.nulegal.eu/gesetze/TrinkwV%202023/37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