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TrinkwV 2001 — Stelle der Einhaltung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Die allgemeinen Anforderungen nach § 5 Absatz 1 und § 6 Absatz 1, die nach § 5 Absatz 2 und 3 sowie § 6 Absatz 2 festgelegten Grenzwerte, die nach § 7 festgelegten Grenzwerte und Anforderungen sowie die Anforderung nach § 7a gelten</w:t>
      </w:r>
    </w:p>
    <w:p>
      <w:pPr>
        <w:ind w:left="420"/>
      </w:pPr>
      <w:r>
        <w:t xml:space="preserve">1. bei Trinkwasser, das auf Grundstücken oder in Gebäuden und Einrichtungen oder in Land-, Wasser- oder Luftfahrzeugen auf Leitungswegen bereitgestellt wird, am Austritt aus denjenigen Zapfstellen, die sich in einer Trinkwasser-Installation befinden und die der Entnahme von Trinkwasser dienen,</w:t>
      </w:r>
    </w:p>
    <w:p>
      <w:pPr>
        <w:ind w:left="420"/>
      </w:pPr>
      <w:r>
        <w:t xml:space="preserve">2. bei Trinkwasser in einem an die Trinkwasser-Installation angeschlossenen Apparat, der entsprechend den allgemein anerkannten Regeln der Technik nicht Teil der Trinkwasser-Installation ist, an der nach den allgemein anerkannten Regeln der Technik notwendigen Sicherungseinrichtung,</w:t>
      </w:r>
    </w:p>
    <w:p>
      <w:pPr>
        <w:ind w:left="420"/>
      </w:pPr>
      <w:r>
        <w:t xml:space="preserve">3. bei Trinkwasser aus Wassertransport-Fahrzeugen an der Entnahmestelle am Fahrzeug,</w:t>
      </w:r>
    </w:p>
    <w:p>
      <w:pPr>
        <w:ind w:left="420"/>
      </w:pPr>
      <w:r>
        <w:t xml:space="preserve">4. bei Trinkwasser, das zur Abgabe in verschlossenen Behältnissen bestimmt ist, am Punkt der Abfüllung.</w:t>
      </w:r>
    </w:p>
    <w:p>
      <w:r>
        <w:rPr>
          <w:color w:val="555555"/>
          <w:sz w:val="17"/>
        </w:rPr>
        <w:t xml:space="preserve">Zitiervorschlag: § 8 TrinkwV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https://recht.nulegal.eu/gesetze/TrinkwV%202001/8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TrinkwV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