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TrinkwV 2001 — Vollzug im Bereich der Eisenbahnen des Bundes</w:t>
      </w:r>
    </w:p>
    <w:p>
      <w:r>
        <w:rPr>
          <w:color w:val="555555"/>
          <w:sz w:val="18"/>
        </w:rPr>
        <w:t xml:space="preserve">Trinkwasserverordnung</w:t>
      </w:r>
    </w:p>
    <w:p>
      <w:r>
        <w:rPr>
          <w:color w:val="555555"/>
          <w:sz w:val="18"/>
        </w:rPr>
        <w:t xml:space="preserve">Historische Fassung: Stand 10.06.2019 bis 25.06.2023. Dies ist nicht die aktuelle Fassung.</w:t>
      </w:r>
    </w:p>
    <w:p>
      <w:r>
        <w:t xml:space="preserve">Der Vollzug dieser Verordnung obliegt im Bereich der Eisenbahnen des Bundes für Wasserversorgungsanlagen in Schienenfahrzeugen sowie für Anlagen zur Befüllung von Schienenfahrzeugen dem Eisenbahn-Bundesamt. Es nimmt in seinem Zuständigkeitsbereich die Aufgaben und Befugnisse des Gesundheitsamtes, der zuständigen Behörde und der zuständigen obersten Landesbehörde mit Ausnahme der Aufgabe nach § 15 Absatz 4 wahr. Es ist in seinem Zuständigkeitsbereich auch zuständige Verwaltungsbehörde im Sinne von § 36 Absatz 1 Nummer 1 des Gesetzes über Ordnungswidrigkeiten.</w:t>
      </w:r>
    </w:p>
    <w:p>
      <w:r>
        <w:rPr>
          <w:color w:val="555555"/>
          <w:sz w:val="17"/>
        </w:rPr>
        <w:t xml:space="preserve">Zitiervorschlag: § 23 TrinkwV 2001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https://recht.nulegal.eu/gesetze/TrinkwV%202001/23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TrinkwV 2001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