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TrinkwV 2001 — Anordnungen des Gesundheitsamtes</w:t>
      </w:r>
    </w:p>
    <w:p>
      <w:r>
        <w:rPr>
          <w:color w:val="555555"/>
          <w:sz w:val="18"/>
        </w:rPr>
        <w:t xml:space="preserve">Trinkwasserverordnung</w:t>
      </w:r>
    </w:p>
    <w:p>
      <w:r>
        <w:rPr>
          <w:color w:val="555555"/>
          <w:sz w:val="18"/>
        </w:rPr>
        <w:t xml:space="preserve">Historische Fassung: Stand 10.06.2019 bis 25.06.2023. Dies ist nicht die aktuelle Fassung.</w:t>
      </w:r>
    </w:p>
    <w:p>
      <w:r>
        <w:t xml:space="preserve">(1) Wenn es unter Berücksichtigung der Umstände des Einzelfalles zum Schutz der menschlichen Gesundheit oder zur Sicherstellung einer einwandfreien Beschaffenheit des Trinkwassers erforderlich ist, kann das Gesundheitsamt anordnen, dass der Unternehmer und der sonstige Inhaber einer Wasserversorgungsanlage</w:t>
      </w:r>
    </w:p>
    <w:p>
      <w:pPr>
        <w:ind w:left="420"/>
      </w:pPr>
      <w:r>
        <w:t xml:space="preserve">1. die zu untersuchenden Proben von einer bestimmten Untersuchungsstelle an bestimmten Probennahmestellen nach bestimmten technischen Vorgaben zur Durchführung und zu bestimmten Zeiten entnehmen zu lassen haben,</w:t>
      </w:r>
    </w:p>
    <w:p>
      <w:pPr>
        <w:ind w:left="420"/>
      </w:pPr>
      <w:r>
        <w:t xml:space="preserve">2. bestimmte Untersuchungen nach einem bestimmten Untersuchungsverfahren und außerhalb der regelmäßigen Untersuchungen sofort durchzuführen oder durchführen zu lassen haben,</w:t>
      </w:r>
    </w:p>
    <w:p>
      <w:pPr>
        <w:ind w:left="420"/>
      </w:pPr>
      <w:r>
        <w:t xml:space="preserve">3. die Untersuchungen nach den §§ 14 und 14b</w:t>
      </w:r>
    </w:p>
    <w:p>
      <w:pPr>
        <w:ind w:left="780"/>
      </w:pPr>
      <w:r>
        <w:t xml:space="preserve">a) in kürzeren als den in diesen Vorschriften genannten Abständen,</w:t>
      </w:r>
    </w:p>
    <w:p>
      <w:pPr>
        <w:ind w:left="780"/>
      </w:pPr>
      <w:r>
        <w:t xml:space="preserve">b) an einer größeren Anzahl von Proben</w:t>
      </w:r>
    </w:p>
    <w:p>
      <w:pPr>
        <w:ind w:left="420"/>
      </w:pPr>
      <w:r>
        <w:t xml:space="preserve">durchzuführen oder durchführen zu lassen haben,</w:t>
      </w:r>
    </w:p>
    <w:p>
      <w:pPr>
        <w:ind w:left="420"/>
      </w:pPr>
      <w:r>
        <w:t xml:space="preserve">4. Untersuchungen durchzuführen oder durchführen zu lassen haben zur Feststellung,</w:t>
      </w:r>
    </w:p>
    <w:p>
      <w:pPr>
        <w:ind w:left="780"/>
      </w:pPr>
      <w:r>
        <w:t xml:space="preserve">a) ob andere als die nach den Anlagen 1 und 3 untersuchten Mikroorganismen in Konzentrationen im Trinkwasser enthalten sind,</w:t>
      </w:r>
    </w:p>
    <w:p>
      <w:pPr>
        <w:ind w:left="780"/>
      </w:pPr>
      <w:r>
        <w:t xml:space="preserve">b) ob andere als die nach den Anlagen 2 und 3 untersuchten Parameter in Konzentrationen enthalten sind,</w:t>
      </w:r>
    </w:p>
    <w:p>
      <w:pPr>
        <w:ind w:left="420"/>
      </w:pPr>
      <w:r>
        <w:t xml:space="preserve">die eine Schädigung der menschlichen Gesundheit besorgen lassen,</w:t>
      </w:r>
    </w:p>
    <w:p>
      <w:pPr>
        <w:ind w:left="420"/>
      </w:pPr>
      <w:r>
        <w:t xml:space="preserve">5. Maßnahmen zu treffen haben, die erforderlich sind, um eine Verunreinigung zu beseitigen, auf die die Überschreitung der nach § 5 Absatz 2 und § 6 Absatz 2 in Verbindung mit den Anlagen 1 und 2 festgesetzten Grenzwerte, die Nichteinhaltung der nach § 7 in Verbindung mit Anlage 3 und § 11 Absatz 1 Satz 1 festgelegten Grenzwerte und Anforderungen oder ein anderer Umstand hindeutet, oder um künftigen Verunreinigungen vorzubeugen.</w:t>
      </w:r>
    </w:p>
    <w:p>
      <w:r>
        <w:t xml:space="preserve">(2) Wird aus einer Wasserversorgungsanlage nach § 3 Nummer 2 Buchstabe a oder Buchstabe b Trinkwasser an eine andere Wasserversorgungsanlage nach Buchstabe a oder Buchstabe b abgegeben, so kann das Gesundheitsamt regeln, welcher Unternehmer und sonstige Inhaber die Untersuchungen nach § 14 durchzuführen oder durchführen zu lassen hat.</w:t>
      </w:r>
    </w:p>
    <w:p>
      <w:r>
        <w:t xml:space="preserve">(3) Für Anordnungen der zuständigen Behörde in Bezug auf radioaktive Stoffe gilt § 20a.</w:t>
      </w:r>
    </w:p>
    <w:p>
      <w:r>
        <w:rPr>
          <w:color w:val="555555"/>
          <w:sz w:val="17"/>
        </w:rPr>
        <w:t xml:space="preserve">Zitiervorschlag: § 20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