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TrinkwV 2001 — Umfang der Überwachung</w:t>
      </w:r>
    </w:p>
    <w:p>
      <w:r>
        <w:rPr>
          <w:color w:val="555555"/>
          <w:sz w:val="18"/>
        </w:rPr>
        <w:t xml:space="preserve">Trinkwasserverordnung</w:t>
      </w:r>
    </w:p>
    <w:p>
      <w:r>
        <w:rPr>
          <w:color w:val="555555"/>
          <w:sz w:val="18"/>
        </w:rPr>
        <w:t xml:space="preserve">Historische Fassung: Stand 01.10.2021 bis 25.06.2023. Dies ist nicht die aktuelle Fassung.</w:t>
      </w:r>
    </w:p>
    <w:p>
      <w:r>
        <w:t xml:space="preserve">(1) Im Rahmen der Überwachung nach § 18 hat das Gesundheitsamt die Erfüllung der Pflichten zu prüfen, die dem Unternehmer und dem sonstigen Inhaber einer Wasserversorgungsanlage auf Grund dieser Verordnung obliegen. Die Prüfungen umfassen auch die Besichtigungen der Wasserversorgungsanlagen nach § 3 Nummer 2 Buchstabe a, b und c einschließlich der dazugehörigen Schutzzonen, oder, wenn solche nicht festgesetzt sind, der Umgebung der Wasserfassungsanlage, soweit sie für die Wassergewinnung von Bedeutung ist, sowie die Entnahme und Untersuchung von Wasserproben. Das Gesundheitsamt entscheidet nach eigenem Ermessen, ob es Wasserversorgungsanlagen nach § 3 Nummer 2 Buchstabe d, e und f besichtigt. § 9 Absatz 8 bleibt unberührt. Den Umfang der Untersuchungen nach Satz 2 legt das Gesundheitsamt unter Beachtung der Probennahmeplanung nach § 14 und des Probennahmeplans nach den Absätzen 2 bis 2b fest. Für das Untersuchungsverfahren gilt § 15 Absatz 1 bis 2, und für die Aufzeichnung der Untersuchungsergebnisse gilt § 15 Absatz 3 Satz 1 bis 3 entsprechend. Für die Häufigkeit der Überwachung gilt Absatz 5.</w:t>
      </w:r>
    </w:p>
    <w:p>
      <w:r>
        <w:t xml:space="preserve">(2) Das Gesundheitsamt legt für jedes Wasserversorgungsgebiet einen Probennahmeplan fest, der die Erfüllung der Berichtspflichten gemäß § 21 Absatz 3 sicherstellt.</w:t>
      </w:r>
    </w:p>
    <w:p>
      <w:r>
        <w:t xml:space="preserve">(2a) Der Probennahmeplan nach Absatz 2 umfasst</w:t>
      </w:r>
    </w:p>
    <w:p>
      <w:pPr>
        <w:ind w:left="420"/>
      </w:pPr>
      <w:r>
        <w:t xml:space="preserve">1. die Untersuchungen nach den Absätzen 1 und 7 und § 18 sowie</w:t>
      </w:r>
    </w:p>
    <w:p>
      <w:pPr>
        <w:ind w:left="420"/>
      </w:pPr>
      <w:r>
        <w:t xml:space="preserve">2. die Untersuchungen des Unternehmers oder des sonstigen Inhabers einer Wasserversorgungsanlage nach § 14 Absatz 1, 2 und 5.</w:t>
      </w:r>
    </w:p>
    <w:p>
      <w:r>
        <w:t xml:space="preserve">(2b) Der Probennahmeplan nach Absatz 2 berücksichtigt</w:t>
      </w:r>
    </w:p>
    <w:p>
      <w:pPr>
        <w:ind w:left="420"/>
      </w:pPr>
      <w:r>
        <w:t xml:space="preserve">1. den Umfang der zu untersuchenden Parameter und die Häufigkeit der Untersuchungen nach Anlage 4 und § 14 Absatz 2a bis 2d,</w:t>
      </w:r>
    </w:p>
    <w:p>
      <w:pPr>
        <w:ind w:left="420"/>
      </w:pPr>
      <w:r>
        <w:t xml:space="preserve">2. die Zeitpunkte der Untersuchungen,</w:t>
      </w:r>
    </w:p>
    <w:p>
      <w:pPr>
        <w:ind w:left="420"/>
      </w:pPr>
      <w:r>
        <w:t xml:space="preserve">3. die Probennahmeverfahren nach § 15 Absatz 1 und</w:t>
      </w:r>
    </w:p>
    <w:p>
      <w:pPr>
        <w:ind w:left="420"/>
      </w:pPr>
      <w:r>
        <w:t xml:space="preserve">4. die Probennahmestellen.</w:t>
      </w:r>
    </w:p>
    <w:p>
      <w:r>
        <w:t xml:space="preserve">(2c) Die Proben sind grundsätzlich an der Stelle der Einhaltung nach § 8 zu nehmen, um sicherzustellen, dass das Trinkwasser die Anforderungen dieser Verordnung erfüllt. Bei einem Verteilungsnetz können jedoch für bestimmte Parameter alternativ Proben innerhalb des Wasserversorgungsgebietes oder in den Aufbereitungsanlagen entnommen werden, wenn bezüglich des untersuchten Parameters keine nachteiligen Veränderungen des Trinkwassers im Verteilungssystem zu erwarten sind. Die Proben sollten so entnommen werden, dass sie für die Qualität des im Laufe des gesamten Jahres gelieferten oder entnommenen Trinkwassers repräsentativ sind. Jahreszeitliche und saisonale Besonderheiten sind zu berücksichtigen. In den Probennahmeplan nach Absatz 2 können alle Wasserversorgungsanlagen einbezogen werden, deren Trinkwasser für das betreffende Wasserversorgungsgebiet repräsentativ ist. Das Gesundheitsamt hat ergänzende Untersuchungen vorzunehmen oder vornehmen zu lassen, wenn dies erforderlich ist, um die Erfüllung der Berichtspflichten nach § 21 Absatz 3 Satz 1 in Verbindung mit Satz 4 sicherzustellen. Die zuständige oberste Landesbehörde oder eine andere nach Landesrecht zuständige Stelle kann bestimmen,</w:t>
      </w:r>
    </w:p>
    <w:p>
      <w:pPr>
        <w:ind w:left="420"/>
      </w:pPr>
      <w:r>
        <w:t xml:space="preserve">1. dass für die Probennahmepläne einheitliche Vordrucke zu verwenden oder einheitliche elektronische Datenverarbeitungsverfahren anzuwenden sind und</w:t>
      </w:r>
    </w:p>
    <w:p>
      <w:pPr>
        <w:ind w:left="420"/>
      </w:pPr>
      <w:r>
        <w:t xml:space="preserve">2. dass und wann die Probennahmepläne der zuständigen obersten Landesbehörde oder der anderen nach Landesrecht zuständigen Stelle in einem vorgegebenen Format zu übermitteln sind.</w:t>
      </w:r>
    </w:p>
    <w:p>
      <w:r>
        <w:t xml:space="preserve">(3) Das Gesundheitsamt kann die Entnahme oder Untersuchung von Wasserproben nach den Absätzen 1 und 2 selbst durchführen oder hierzu eine Untersuchungsstelle beauftragen. Es kann den Unternehmer und den sonstigen Inhaber der Wasserversorgungsanlage auffordern, eine Untersuchungsstelle zu benennen, die die Entnahme oder Untersuchung von Wasserproben vornehmen soll. Es kann auch anordnen, dass der Unternehmer und der sonstige Inhaber der Wasserversorgungsanlage eine Untersuchungsstelle beauftragen; in diesem Fall haben der Unternehmer und der sonstige Inhaber der Wasserversorgungsanlage dem Gesundheitsamt das Untersuchungsergebnis zu übermitteln. Die Untersuchungsstellen nach den Sätzen 1 bis 3 müssen nach § 15 Absatz 4 zugelassen sein. Die zuständige oberste Landesbehörde kann weitere Anforderungen an die Untersuchungsstellen festlegen. Das Gesundheitsamt informiert den Unternehmer oder den sonstigen Inhaber der Wasserversorgungsanlage in den Fällen der Sätze 1 und 2 über das Untersuchungsergebnis.</w:t>
      </w:r>
    </w:p>
    <w:p>
      <w:r>
        <w:t xml:space="preserve">(4) Die Ergebnisse der Überwachung sind in einer Niederschrift festzuhalten. Die zuständige oberste Landesbehörde oder eine andere auf Grund Landesrechts zuständige Stelle kann bestimmen, dass für die Niederschriften einheitliche Vordrucke zu verwenden oder einheitliche EDV-Verfahren anzuwenden sind. Eine Ausfertigung der Niederschrift ist dem Unternehmer oder dem sonstigen Inhaber der Wasserversorgungsanlage zu übermitteln. Das Gesundheitsamt hat die Niederschrift zehn Jahre aufzubewahren.</w:t>
      </w:r>
    </w:p>
    <w:p>
      <w:r>
        <w:t xml:space="preserve">(5) Die Überwachungsmaßnahmen nach Absatz 1 sind für Wasserversorgungsanlagen nach § 3 Nummer 2 Buchstabe a und b mindestens einmal jährlich vorzunehmen; wenn die Überwachung während eines Zeitraums von vier Jahren zu keinen wesentlichen Beanstandungen geführt hat, kann das Gesundheitsamt die Überwachung in größeren Zeitabständen, mindestens aber einmal in drei Jahren, durchführen. Die Überwachungshäufigkeit für Wasserversorgungsanlagen nach § 3 Nummer 2 Buchstabe c wird vom Gesundheitsamt festgelegt. Der Zeitraum zwischen den Überwachungen darf fünf Jahre nicht überschreiten. Wasserversorgungsanlagen nach § 3 Nummer 2 Buchstabe d, die im Rahmen einer gewerblichen oder öffentlichen Tätigkeit betrieben werden, sollen mindestens einmal innerhalb von drei Jahren überwacht werden. Bei Wasserversorgungsanlagen an Bord von Land-, Wasser- und Luftfahrzeugen, die nicht im Rahmen einer gewerblichen oder öffentlichen Tätigkeit betrieben werden, bestimmt das Gesundheitsamt, ob und in welchen Zeitabständen es die Maßnahmen durchführt. Wasserversorgungsanlagen nach § 3 Nummer 2 Buchstabe f, die im Rahmen einer gewerblichen oder öffentlichen Tätigkeit betrieben werden und der wiederkehrenden Befüllung von Wasserversorgungsanlagen nach § 3 Nummer 2 Buchstabe d an Bord von Schienenfahrzeugen im Zuständigkeitsbereich des Eisenbahn-Bundesamtes dienen, sollen mindestens einmal jährlich überwacht werden. Wassertransport-Fahrzeuge sollen mindestens viermal im Jahr überwacht werden.</w:t>
      </w:r>
    </w:p>
    <w:p>
      <w:r>
        <w:t xml:space="preserve">(6) Die Überwachungsmaßnahmen sollen vorher nicht angekündigt werden.</w:t>
      </w:r>
    </w:p>
    <w:p>
      <w:r>
        <w:t xml:space="preserve">(7) Bei Wasserversorgungsanlagen nach § 3 Nummer 2 Buchstabe e, aus denen Trinkwasser im Rahmen einer öffentlichen Tätigkeit bereitgestellt wird, bei Wasserversorgungsanlagen nach Buchstabe d, aus denen Trinkwasser im Rahmen einer gewerblichen oder öffentlichen Tätigkeit bereitgestellt wird, sowie bei Wasserversorgungsanlagen nach Buchstabe f hat das Gesundheitsamt im Rahmen der Überwachung mindestens diejenigen Parameter zu untersuchen oder untersuchen zu lassen, von denen anzunehmen ist, dass sie sich in der Trinkwasser-Installation nachteilig verändern können. Zur Durchführung richtet das Gesundheitsamt ein Überwachungsprogramm auf der Grundlage geeigneter stichprobenartiger Kontrollen ein.</w:t>
      </w:r>
    </w:p>
    <w:p>
      <w:r>
        <w:t xml:space="preserve">(8) Für den Umfang der Überwachung von radioaktiven Stoffen gilt § 20a.</w:t>
      </w:r>
    </w:p>
    <w:p>
      <w:r>
        <w:rPr>
          <w:color w:val="555555"/>
          <w:sz w:val="17"/>
        </w:rPr>
        <w:t xml:space="preserve">Zitiervorschlag: § 19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